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2368" w14:textId="7AFD5423" w:rsidR="00C72B5E" w:rsidRPr="00D33EDF" w:rsidRDefault="00676259" w:rsidP="00D33EDF">
      <w:pPr>
        <w:pStyle w:val="NoSpacing"/>
        <w:rPr>
          <w:rFonts w:ascii="Arial" w:hAnsi="Arial" w:cs="Arial"/>
          <w:b/>
          <w:bCs/>
          <w:sz w:val="32"/>
          <w:szCs w:val="32"/>
        </w:rPr>
      </w:pPr>
      <w:bookmarkStart w:id="0" w:name="_Hlk150691277"/>
      <w:r>
        <w:rPr>
          <w:rFonts w:ascii="Arial" w:hAnsi="Arial" w:cs="Arial"/>
          <w:b/>
          <w:bCs/>
          <w:sz w:val="32"/>
          <w:szCs w:val="32"/>
        </w:rPr>
        <w:t>Monster Month for the Meat Department in October 2024</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Anne-Marie Roerink, President, 210 Analytics LLC</w:t>
      </w:r>
    </w:p>
    <w:p w14:paraId="5A9FAF66" w14:textId="77777777" w:rsidR="004B75E4" w:rsidRDefault="004B75E4" w:rsidP="00D85BA4">
      <w:pPr>
        <w:pStyle w:val="NoSpacing"/>
        <w:rPr>
          <w:rFonts w:ascii="Arial" w:hAnsi="Arial" w:cs="Arial"/>
          <w:b/>
          <w:bCs/>
          <w:color w:val="595959" w:themeColor="text1" w:themeTint="A6"/>
          <w:sz w:val="24"/>
        </w:rPr>
      </w:pPr>
    </w:p>
    <w:p w14:paraId="2558BD55" w14:textId="7767A95E" w:rsidR="00FA2467" w:rsidRPr="006C00F1" w:rsidRDefault="00067985" w:rsidP="00FA2467">
      <w:pPr>
        <w:pStyle w:val="NoSpacing"/>
        <w:rPr>
          <w:rFonts w:ascii="Arial" w:hAnsi="Arial" w:cs="Arial"/>
          <w:b/>
          <w:bCs/>
          <w:color w:val="595959" w:themeColor="text1" w:themeTint="A6"/>
          <w:sz w:val="24"/>
        </w:rPr>
      </w:pPr>
      <w:bookmarkStart w:id="1" w:name="_Hlk179729667"/>
      <w:bookmarkStart w:id="2" w:name="_Hlk158538948"/>
      <w:r>
        <w:rPr>
          <w:rFonts w:ascii="Arial" w:hAnsi="Arial" w:cs="Arial"/>
          <w:b/>
          <w:bCs/>
          <w:color w:val="595959" w:themeColor="text1" w:themeTint="A6"/>
          <w:sz w:val="24"/>
        </w:rPr>
        <w:t>October</w:t>
      </w:r>
      <w:r w:rsidR="00FA2467">
        <w:rPr>
          <w:rFonts w:ascii="Arial" w:hAnsi="Arial" w:cs="Arial"/>
          <w:b/>
          <w:bCs/>
          <w:color w:val="595959" w:themeColor="text1" w:themeTint="A6"/>
          <w:sz w:val="24"/>
        </w:rPr>
        <w:t xml:space="preserve"> </w:t>
      </w:r>
      <w:r w:rsidR="00FA2467" w:rsidRPr="006C00F1">
        <w:rPr>
          <w:rFonts w:ascii="Arial" w:hAnsi="Arial" w:cs="Arial"/>
          <w:b/>
          <w:bCs/>
          <w:color w:val="595959" w:themeColor="text1" w:themeTint="A6"/>
          <w:sz w:val="24"/>
        </w:rPr>
        <w:t>in Review</w:t>
      </w:r>
    </w:p>
    <w:bookmarkEnd w:id="1"/>
    <w:p w14:paraId="5AC3FB29" w14:textId="6E59EDBE" w:rsidR="002B5B6D" w:rsidRPr="002B5B6D" w:rsidRDefault="002B5B6D" w:rsidP="002B5B6D">
      <w:pPr>
        <w:pStyle w:val="NoSpacing"/>
        <w:numPr>
          <w:ilvl w:val="0"/>
          <w:numId w:val="23"/>
        </w:numPr>
        <w:rPr>
          <w:rFonts w:ascii="Arial" w:hAnsi="Arial" w:cs="Arial"/>
          <w:sz w:val="20"/>
          <w:szCs w:val="20"/>
        </w:rPr>
      </w:pPr>
      <w:r w:rsidRPr="002B5B6D">
        <w:rPr>
          <w:rFonts w:ascii="Arial" w:hAnsi="Arial" w:cs="Arial"/>
          <w:sz w:val="20"/>
          <w:szCs w:val="20"/>
        </w:rPr>
        <w:t>October sales were heavily disrupted in the substantial Southeast region, where hurricanes Helene and Milton left millions of people without power for varying amounts of time. While boosting the sales of some center-store categories, the net result for fresh categories varied widely</w:t>
      </w:r>
      <w:r w:rsidR="008870AC">
        <w:rPr>
          <w:rFonts w:ascii="Arial" w:hAnsi="Arial" w:cs="Arial"/>
          <w:sz w:val="20"/>
          <w:szCs w:val="20"/>
        </w:rPr>
        <w:t xml:space="preserve"> in the Southeast</w:t>
      </w:r>
      <w:r w:rsidRPr="002B5B6D">
        <w:rPr>
          <w:rFonts w:ascii="Arial" w:hAnsi="Arial" w:cs="Arial"/>
          <w:sz w:val="20"/>
          <w:szCs w:val="20"/>
        </w:rPr>
        <w:t xml:space="preserve">. </w:t>
      </w:r>
    </w:p>
    <w:p w14:paraId="2B874975" w14:textId="644F1155" w:rsidR="002B5B6D" w:rsidRPr="002B5B6D" w:rsidRDefault="002B5B6D" w:rsidP="002B5B6D">
      <w:pPr>
        <w:pStyle w:val="NoSpacing"/>
        <w:numPr>
          <w:ilvl w:val="0"/>
          <w:numId w:val="23"/>
        </w:numPr>
        <w:rPr>
          <w:rFonts w:ascii="Arial" w:hAnsi="Arial" w:cs="Arial"/>
          <w:sz w:val="20"/>
          <w:szCs w:val="20"/>
        </w:rPr>
      </w:pPr>
      <w:r w:rsidRPr="002B5B6D">
        <w:rPr>
          <w:rFonts w:ascii="Arial" w:hAnsi="Arial" w:cs="Arial"/>
          <w:sz w:val="20"/>
          <w:szCs w:val="20"/>
        </w:rPr>
        <w:t xml:space="preserve">The Consumer Sentiment Index by the University of Michigan remained relatively stable at 70.5 in October 2024. The early November readings show some consumer optimism. The overall sentiment index increased to 73 in </w:t>
      </w:r>
      <w:r>
        <w:rPr>
          <w:rFonts w:ascii="Arial" w:hAnsi="Arial" w:cs="Arial"/>
          <w:sz w:val="20"/>
          <w:szCs w:val="20"/>
        </w:rPr>
        <w:t xml:space="preserve">the first week of </w:t>
      </w:r>
      <w:r w:rsidRPr="002B5B6D">
        <w:rPr>
          <w:rFonts w:ascii="Arial" w:hAnsi="Arial" w:cs="Arial"/>
          <w:sz w:val="20"/>
          <w:szCs w:val="20"/>
        </w:rPr>
        <w:t xml:space="preserve">November 2024 — the highest in seven months. The expectations index soared to 78.5, the highest since July 2021 and expectations over personal finances climbed by 6%. </w:t>
      </w:r>
    </w:p>
    <w:p w14:paraId="0019E71F" w14:textId="77777777" w:rsidR="002B5B6D" w:rsidRPr="002B5B6D" w:rsidRDefault="002B5B6D" w:rsidP="002B5B6D">
      <w:pPr>
        <w:pStyle w:val="NoSpacing"/>
        <w:numPr>
          <w:ilvl w:val="0"/>
          <w:numId w:val="23"/>
        </w:numPr>
        <w:rPr>
          <w:rFonts w:ascii="Arial" w:hAnsi="Arial" w:cs="Arial"/>
          <w:sz w:val="20"/>
          <w:szCs w:val="20"/>
        </w:rPr>
      </w:pPr>
      <w:proofErr w:type="spellStart"/>
      <w:r w:rsidRPr="002B5B6D">
        <w:rPr>
          <w:rFonts w:ascii="Arial" w:hAnsi="Arial" w:cs="Arial"/>
          <w:sz w:val="20"/>
          <w:szCs w:val="20"/>
        </w:rPr>
        <w:t>Circana’s</w:t>
      </w:r>
      <w:proofErr w:type="spellEnd"/>
      <w:r w:rsidRPr="002B5B6D">
        <w:rPr>
          <w:rFonts w:ascii="Arial" w:hAnsi="Arial" w:cs="Arial"/>
          <w:sz w:val="20"/>
          <w:szCs w:val="20"/>
        </w:rPr>
        <w:t xml:space="preserve"> monthly survey of primary shoppers found that 88% of all meals are home-prepared, whereas the share who have gotten takeout in the past few weeks is down a bit (49%), just like meal delivery (15%). On the other hand, 50% of consumers have gone to a restaurant over the past few weeks. </w:t>
      </w:r>
    </w:p>
    <w:p w14:paraId="7CC44D06" w14:textId="77777777" w:rsidR="002B5B6D" w:rsidRPr="002B5B6D" w:rsidRDefault="002B5B6D" w:rsidP="002B5B6D">
      <w:pPr>
        <w:pStyle w:val="NoSpacing"/>
        <w:numPr>
          <w:ilvl w:val="0"/>
          <w:numId w:val="23"/>
        </w:numPr>
        <w:rPr>
          <w:rFonts w:ascii="Arial" w:hAnsi="Arial" w:cs="Arial"/>
          <w:sz w:val="20"/>
          <w:szCs w:val="20"/>
        </w:rPr>
      </w:pPr>
      <w:r w:rsidRPr="002B5B6D">
        <w:rPr>
          <w:rFonts w:ascii="Arial" w:hAnsi="Arial" w:cs="Arial"/>
          <w:sz w:val="20"/>
          <w:szCs w:val="20"/>
        </w:rPr>
        <w:t xml:space="preserve">The vast majority of purchases continue to happen in-store, with only 12% of consumers in the </w:t>
      </w:r>
      <w:proofErr w:type="spellStart"/>
      <w:r w:rsidRPr="002B5B6D">
        <w:rPr>
          <w:rFonts w:ascii="Arial" w:hAnsi="Arial" w:cs="Arial"/>
          <w:sz w:val="20"/>
          <w:szCs w:val="20"/>
        </w:rPr>
        <w:t>Circana</w:t>
      </w:r>
      <w:proofErr w:type="spellEnd"/>
      <w:r w:rsidRPr="002B5B6D">
        <w:rPr>
          <w:rFonts w:ascii="Arial" w:hAnsi="Arial" w:cs="Arial"/>
          <w:sz w:val="20"/>
          <w:szCs w:val="20"/>
        </w:rPr>
        <w:t xml:space="preserve"> survey indicating they purchase most or all groceries online. Another 24% purchase some or a little online, leaving 64% of consumers who purchase groceries in-store exclusively.  </w:t>
      </w:r>
    </w:p>
    <w:p w14:paraId="11CBEB4D" w14:textId="77777777" w:rsidR="002B5B6D" w:rsidRPr="002B5B6D" w:rsidRDefault="002B5B6D" w:rsidP="002B5B6D">
      <w:pPr>
        <w:pStyle w:val="NoSpacing"/>
        <w:numPr>
          <w:ilvl w:val="0"/>
          <w:numId w:val="23"/>
        </w:numPr>
        <w:rPr>
          <w:rFonts w:ascii="Arial" w:hAnsi="Arial" w:cs="Arial"/>
          <w:sz w:val="20"/>
          <w:szCs w:val="20"/>
        </w:rPr>
      </w:pPr>
      <w:r w:rsidRPr="002B5B6D">
        <w:rPr>
          <w:rFonts w:ascii="Arial" w:hAnsi="Arial" w:cs="Arial"/>
          <w:sz w:val="20"/>
          <w:szCs w:val="20"/>
        </w:rPr>
        <w:t xml:space="preserve">79% of consumers in the </w:t>
      </w:r>
      <w:proofErr w:type="spellStart"/>
      <w:r w:rsidRPr="002B5B6D">
        <w:rPr>
          <w:rFonts w:ascii="Arial" w:hAnsi="Arial" w:cs="Arial"/>
          <w:sz w:val="20"/>
          <w:szCs w:val="20"/>
        </w:rPr>
        <w:t>Circana</w:t>
      </w:r>
      <w:proofErr w:type="spellEnd"/>
      <w:r w:rsidRPr="002B5B6D">
        <w:rPr>
          <w:rFonts w:ascii="Arial" w:hAnsi="Arial" w:cs="Arial"/>
          <w:sz w:val="20"/>
          <w:szCs w:val="20"/>
        </w:rPr>
        <w:t xml:space="preserve"> survey report they will celebrate Thanksgiving the usual way. Check the What’s Next? section for the big lessons from the 2023 season. </w:t>
      </w:r>
    </w:p>
    <w:p w14:paraId="0920D960" w14:textId="77777777" w:rsidR="00A54264" w:rsidRPr="002B5B6D" w:rsidRDefault="00A54264" w:rsidP="00FA2467">
      <w:pPr>
        <w:spacing w:after="0" w:line="240" w:lineRule="auto"/>
        <w:rPr>
          <w:rFonts w:ascii="Arial" w:hAnsi="Arial" w:cs="Arial"/>
          <w:sz w:val="20"/>
          <w:szCs w:val="20"/>
        </w:rPr>
      </w:pPr>
    </w:p>
    <w:p w14:paraId="50213CC5" w14:textId="77777777" w:rsidR="009F4EE4" w:rsidRPr="00A5676F" w:rsidRDefault="009F4EE4" w:rsidP="009F4EE4">
      <w:pPr>
        <w:pStyle w:val="NoSpacing"/>
        <w:rPr>
          <w:rFonts w:ascii="Arial" w:hAnsi="Arial" w:cs="Arial"/>
          <w:b/>
          <w:color w:val="595959" w:themeColor="text1" w:themeTint="A6"/>
          <w:sz w:val="24"/>
          <w:szCs w:val="20"/>
        </w:rPr>
      </w:pPr>
      <w:bookmarkStart w:id="3" w:name="_Hlk174083389"/>
      <w:bookmarkStart w:id="4" w:name="_Hlk174043741"/>
      <w:bookmarkStart w:id="5" w:name="_Hlk179721807"/>
      <w:bookmarkEnd w:id="2"/>
      <w:r w:rsidRPr="00A5676F">
        <w:rPr>
          <w:rFonts w:ascii="Arial" w:hAnsi="Arial" w:cs="Arial"/>
          <w:b/>
          <w:color w:val="595959" w:themeColor="text1" w:themeTint="A6"/>
          <w:sz w:val="24"/>
          <w:szCs w:val="20"/>
        </w:rPr>
        <w:t>Inflation Insights</w:t>
      </w:r>
    </w:p>
    <w:p w14:paraId="3025E34C" w14:textId="77777777" w:rsidR="00702F57" w:rsidRPr="000C4F70" w:rsidRDefault="00702F57" w:rsidP="00702F57">
      <w:pPr>
        <w:pStyle w:val="NoSpacing"/>
        <w:rPr>
          <w:rFonts w:ascii="Arial" w:hAnsi="Arial" w:cs="Arial"/>
          <w:sz w:val="20"/>
          <w:szCs w:val="20"/>
        </w:rPr>
      </w:pPr>
      <w:bookmarkStart w:id="6" w:name="_Hlk182721801"/>
      <w:r w:rsidRPr="000C4F70">
        <w:rPr>
          <w:rFonts w:ascii="Arial" w:hAnsi="Arial" w:cs="Arial"/>
          <w:sz w:val="20"/>
          <w:szCs w:val="20"/>
        </w:rPr>
        <w:t>In October 2024 (the f</w:t>
      </w:r>
      <w:r>
        <w:rPr>
          <w:rFonts w:ascii="Arial" w:hAnsi="Arial" w:cs="Arial"/>
          <w:sz w:val="20"/>
          <w:szCs w:val="20"/>
        </w:rPr>
        <w:t>ive</w:t>
      </w:r>
      <w:r w:rsidRPr="000C4F70">
        <w:rPr>
          <w:rFonts w:ascii="Arial" w:hAnsi="Arial" w:cs="Arial"/>
          <w:sz w:val="20"/>
          <w:szCs w:val="20"/>
        </w:rPr>
        <w:t xml:space="preserve"> weeks ending 11/3/2024), the price per unit across all foods and beverages in the </w:t>
      </w:r>
      <w:proofErr w:type="spellStart"/>
      <w:r w:rsidRPr="000C4F70">
        <w:rPr>
          <w:rFonts w:ascii="Arial" w:hAnsi="Arial" w:cs="Arial"/>
          <w:sz w:val="20"/>
          <w:szCs w:val="20"/>
        </w:rPr>
        <w:t>Circana</w:t>
      </w:r>
      <w:proofErr w:type="spellEnd"/>
      <w:r w:rsidRPr="000C4F70">
        <w:rPr>
          <w:rFonts w:ascii="Arial" w:hAnsi="Arial" w:cs="Arial"/>
          <w:sz w:val="20"/>
          <w:szCs w:val="20"/>
        </w:rPr>
        <w:t xml:space="preserve"> MULO+ universe stood at $4.29. This reflects an increase of 2.</w:t>
      </w:r>
      <w:r>
        <w:rPr>
          <w:rFonts w:ascii="Arial" w:hAnsi="Arial" w:cs="Arial"/>
          <w:sz w:val="20"/>
          <w:szCs w:val="20"/>
        </w:rPr>
        <w:t>2</w:t>
      </w:r>
      <w:r w:rsidRPr="000C4F70">
        <w:rPr>
          <w:rFonts w:ascii="Arial" w:hAnsi="Arial" w:cs="Arial"/>
          <w:sz w:val="20"/>
          <w:szCs w:val="20"/>
        </w:rPr>
        <w:t>% over October 2023. While fresh food (+2.</w:t>
      </w:r>
      <w:r>
        <w:rPr>
          <w:rFonts w:ascii="Arial" w:hAnsi="Arial" w:cs="Arial"/>
          <w:sz w:val="20"/>
          <w:szCs w:val="20"/>
        </w:rPr>
        <w:t>8</w:t>
      </w:r>
      <w:r w:rsidRPr="000C4F70">
        <w:rPr>
          <w:rFonts w:ascii="Arial" w:hAnsi="Arial" w:cs="Arial"/>
          <w:sz w:val="20"/>
          <w:szCs w:val="20"/>
        </w:rPr>
        <w:t>%) increased more than center-store (+</w:t>
      </w:r>
      <w:r>
        <w:rPr>
          <w:rFonts w:ascii="Arial" w:hAnsi="Arial" w:cs="Arial"/>
          <w:sz w:val="20"/>
          <w:szCs w:val="20"/>
        </w:rPr>
        <w:t>2.0</w:t>
      </w:r>
      <w:r w:rsidRPr="000C4F70">
        <w:rPr>
          <w:rFonts w:ascii="Arial" w:hAnsi="Arial" w:cs="Arial"/>
          <w:sz w:val="20"/>
          <w:szCs w:val="20"/>
        </w:rPr>
        <w:t xml:space="preserve">%) prices, the gap narrowed in October compared to the last few quarters. Compared to the pre-pandemic baseline, the average price per unit of $4.29 is 37.0% higher than the 2019 average of $3.13. October inflation also accelerated a bit in comparison to the third quarter of the year, when prices increased 1.8% across all food and beverages. </w:t>
      </w:r>
    </w:p>
    <w:bookmarkEnd w:id="6"/>
    <w:p w14:paraId="7DF8C42E" w14:textId="77777777" w:rsidR="009F4EE4" w:rsidRDefault="009F4EE4" w:rsidP="009F4EE4">
      <w:pPr>
        <w:pStyle w:val="NoSpacing"/>
        <w:rPr>
          <w:rFonts w:ascii="Arial" w:hAnsi="Arial" w:cs="Arial"/>
          <w:sz w:val="20"/>
          <w:szCs w:val="20"/>
        </w:rPr>
      </w:pPr>
    </w:p>
    <w:tbl>
      <w:tblPr>
        <w:tblStyle w:val="GridTable4"/>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90"/>
        <w:gridCol w:w="792"/>
        <w:gridCol w:w="791"/>
        <w:gridCol w:w="832"/>
        <w:gridCol w:w="792"/>
        <w:gridCol w:w="791"/>
        <w:gridCol w:w="792"/>
        <w:gridCol w:w="792"/>
        <w:gridCol w:w="791"/>
        <w:gridCol w:w="787"/>
        <w:gridCol w:w="1014"/>
      </w:tblGrid>
      <w:tr w:rsidR="009F4EE4" w14:paraId="64367DDB" w14:textId="77777777" w:rsidTr="00A75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shd w:val="clear" w:color="auto" w:fill="17365D" w:themeFill="text2" w:themeFillShade="BF"/>
          </w:tcPr>
          <w:p w14:paraId="4B8B068E" w14:textId="77777777" w:rsidR="009F4EE4" w:rsidRPr="00AC625C" w:rsidRDefault="009F4EE4" w:rsidP="001A1F3D">
            <w:pPr>
              <w:pStyle w:val="NoSpacing"/>
              <w:rPr>
                <w:rFonts w:ascii="Arial" w:hAnsi="Arial" w:cs="Arial"/>
                <w:sz w:val="18"/>
                <w:szCs w:val="18"/>
              </w:rPr>
            </w:pPr>
            <w:r w:rsidRPr="00AC625C">
              <w:rPr>
                <w:rFonts w:ascii="Arial" w:hAnsi="Arial" w:cs="Arial"/>
                <w:sz w:val="18"/>
                <w:szCs w:val="18"/>
              </w:rPr>
              <w:t xml:space="preserve">Avg. price/ unit </w:t>
            </w:r>
            <w:proofErr w:type="spellStart"/>
            <w:proofErr w:type="gramStart"/>
            <w:r w:rsidRPr="00AC625C">
              <w:rPr>
                <w:rFonts w:ascii="Arial" w:hAnsi="Arial" w:cs="Arial"/>
                <w:sz w:val="18"/>
                <w:szCs w:val="18"/>
              </w:rPr>
              <w:t>vs.YA</w:t>
            </w:r>
            <w:proofErr w:type="spellEnd"/>
            <w:proofErr w:type="gramEnd"/>
            <w:r w:rsidRPr="00AC625C">
              <w:rPr>
                <w:rFonts w:ascii="Arial" w:hAnsi="Arial" w:cs="Arial"/>
                <w:sz w:val="18"/>
                <w:szCs w:val="18"/>
              </w:rPr>
              <w:t xml:space="preserve"> </w:t>
            </w:r>
          </w:p>
        </w:tc>
        <w:tc>
          <w:tcPr>
            <w:tcW w:w="790" w:type="dxa"/>
            <w:shd w:val="clear" w:color="auto" w:fill="17365D" w:themeFill="text2" w:themeFillShade="BF"/>
            <w:vAlign w:val="center"/>
          </w:tcPr>
          <w:p w14:paraId="2F875A84"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2019</w:t>
            </w:r>
          </w:p>
        </w:tc>
        <w:tc>
          <w:tcPr>
            <w:tcW w:w="792" w:type="dxa"/>
            <w:shd w:val="clear" w:color="auto" w:fill="17365D" w:themeFill="text2" w:themeFillShade="BF"/>
            <w:vAlign w:val="center"/>
          </w:tcPr>
          <w:p w14:paraId="76A84720"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2020</w:t>
            </w:r>
          </w:p>
        </w:tc>
        <w:tc>
          <w:tcPr>
            <w:tcW w:w="791" w:type="dxa"/>
            <w:shd w:val="clear" w:color="auto" w:fill="17365D" w:themeFill="text2" w:themeFillShade="BF"/>
            <w:vAlign w:val="center"/>
          </w:tcPr>
          <w:p w14:paraId="30BD9A46"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2021</w:t>
            </w:r>
          </w:p>
        </w:tc>
        <w:tc>
          <w:tcPr>
            <w:tcW w:w="832" w:type="dxa"/>
            <w:shd w:val="clear" w:color="auto" w:fill="17365D" w:themeFill="text2" w:themeFillShade="BF"/>
            <w:vAlign w:val="center"/>
          </w:tcPr>
          <w:p w14:paraId="74D44ECF"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2022</w:t>
            </w:r>
          </w:p>
        </w:tc>
        <w:tc>
          <w:tcPr>
            <w:tcW w:w="792" w:type="dxa"/>
            <w:shd w:val="clear" w:color="auto" w:fill="17365D" w:themeFill="text2" w:themeFillShade="BF"/>
            <w:vAlign w:val="center"/>
          </w:tcPr>
          <w:p w14:paraId="0FE0642C"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2023</w:t>
            </w:r>
          </w:p>
        </w:tc>
        <w:tc>
          <w:tcPr>
            <w:tcW w:w="791" w:type="dxa"/>
            <w:shd w:val="clear" w:color="auto" w:fill="17365D" w:themeFill="text2" w:themeFillShade="BF"/>
            <w:vAlign w:val="center"/>
          </w:tcPr>
          <w:p w14:paraId="2E6FA0F6"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Q3 2023</w:t>
            </w:r>
          </w:p>
        </w:tc>
        <w:tc>
          <w:tcPr>
            <w:tcW w:w="792" w:type="dxa"/>
            <w:shd w:val="clear" w:color="auto" w:fill="17365D" w:themeFill="text2" w:themeFillShade="BF"/>
            <w:vAlign w:val="center"/>
          </w:tcPr>
          <w:p w14:paraId="0B7EC0F5"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Q4 2023</w:t>
            </w:r>
          </w:p>
        </w:tc>
        <w:tc>
          <w:tcPr>
            <w:tcW w:w="792" w:type="dxa"/>
            <w:shd w:val="clear" w:color="auto" w:fill="17365D" w:themeFill="text2" w:themeFillShade="BF"/>
            <w:vAlign w:val="center"/>
          </w:tcPr>
          <w:p w14:paraId="18BD2457"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Q1 2024</w:t>
            </w:r>
          </w:p>
        </w:tc>
        <w:tc>
          <w:tcPr>
            <w:tcW w:w="791" w:type="dxa"/>
            <w:shd w:val="clear" w:color="auto" w:fill="17365D" w:themeFill="text2" w:themeFillShade="BF"/>
            <w:vAlign w:val="center"/>
          </w:tcPr>
          <w:p w14:paraId="2B27CCF6"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Q2 2024</w:t>
            </w:r>
          </w:p>
        </w:tc>
        <w:tc>
          <w:tcPr>
            <w:tcW w:w="787" w:type="dxa"/>
            <w:shd w:val="clear" w:color="auto" w:fill="17365D" w:themeFill="text2" w:themeFillShade="BF"/>
            <w:vAlign w:val="center"/>
          </w:tcPr>
          <w:p w14:paraId="30EECB6A" w14:textId="77777777" w:rsidR="009F4EE4" w:rsidRPr="00AC625C" w:rsidRDefault="009F4EE4"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Q3 2024</w:t>
            </w:r>
          </w:p>
        </w:tc>
        <w:tc>
          <w:tcPr>
            <w:tcW w:w="1014" w:type="dxa"/>
            <w:shd w:val="clear" w:color="auto" w:fill="17365D" w:themeFill="text2" w:themeFillShade="BF"/>
            <w:vAlign w:val="center"/>
          </w:tcPr>
          <w:p w14:paraId="53FE7760" w14:textId="6E0F1E98" w:rsidR="009F4EE4" w:rsidRPr="00AC625C" w:rsidRDefault="002B5B6D" w:rsidP="001A1F3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Oct</w:t>
            </w:r>
            <w:r>
              <w:rPr>
                <w:rFonts w:ascii="Arial" w:hAnsi="Arial" w:cs="Arial"/>
                <w:sz w:val="18"/>
                <w:szCs w:val="18"/>
              </w:rPr>
              <w:br/>
            </w:r>
            <w:r w:rsidR="009F4EE4" w:rsidRPr="00AC625C">
              <w:rPr>
                <w:rFonts w:ascii="Arial" w:hAnsi="Arial" w:cs="Arial"/>
                <w:sz w:val="18"/>
                <w:szCs w:val="18"/>
              </w:rPr>
              <w:t xml:space="preserve"> 2024</w:t>
            </w:r>
          </w:p>
        </w:tc>
      </w:tr>
      <w:tr w:rsidR="009F4EE4" w14:paraId="30912435" w14:textId="77777777" w:rsidTr="00A7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19872E8D" w14:textId="77777777" w:rsidR="009F4EE4" w:rsidRPr="00AC625C" w:rsidRDefault="009F4EE4" w:rsidP="001A1F3D">
            <w:pPr>
              <w:pStyle w:val="NoSpacing"/>
              <w:rPr>
                <w:rFonts w:ascii="Arial" w:hAnsi="Arial" w:cs="Arial"/>
                <w:sz w:val="18"/>
                <w:szCs w:val="18"/>
              </w:rPr>
            </w:pPr>
            <w:r w:rsidRPr="00AC625C">
              <w:rPr>
                <w:rFonts w:ascii="Arial" w:hAnsi="Arial" w:cs="Arial"/>
                <w:sz w:val="18"/>
                <w:szCs w:val="18"/>
              </w:rPr>
              <w:t>Total food &amp; beverages</w:t>
            </w:r>
          </w:p>
        </w:tc>
        <w:tc>
          <w:tcPr>
            <w:tcW w:w="790" w:type="dxa"/>
            <w:vAlign w:val="center"/>
          </w:tcPr>
          <w:p w14:paraId="72119197"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792" w:type="dxa"/>
            <w:vAlign w:val="center"/>
          </w:tcPr>
          <w:p w14:paraId="270B3ACE"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+5.7%</w:t>
            </w:r>
          </w:p>
        </w:tc>
        <w:tc>
          <w:tcPr>
            <w:tcW w:w="791" w:type="dxa"/>
            <w:vAlign w:val="center"/>
          </w:tcPr>
          <w:p w14:paraId="74DBA881"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+5.5%</w:t>
            </w:r>
          </w:p>
        </w:tc>
        <w:tc>
          <w:tcPr>
            <w:tcW w:w="832" w:type="dxa"/>
            <w:vAlign w:val="center"/>
          </w:tcPr>
          <w:p w14:paraId="29DC5B7E"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+12.5%</w:t>
            </w:r>
          </w:p>
        </w:tc>
        <w:tc>
          <w:tcPr>
            <w:tcW w:w="792" w:type="dxa"/>
            <w:vAlign w:val="center"/>
          </w:tcPr>
          <w:p w14:paraId="05AEC9B8"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+6.1%</w:t>
            </w:r>
          </w:p>
        </w:tc>
        <w:tc>
          <w:tcPr>
            <w:tcW w:w="791" w:type="dxa"/>
            <w:vAlign w:val="center"/>
          </w:tcPr>
          <w:p w14:paraId="1D7D3C43"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792" w:type="dxa"/>
            <w:vAlign w:val="center"/>
          </w:tcPr>
          <w:p w14:paraId="687D9474"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792" w:type="dxa"/>
            <w:vAlign w:val="center"/>
          </w:tcPr>
          <w:p w14:paraId="34B5163C"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w:t>
            </w:r>
          </w:p>
        </w:tc>
        <w:tc>
          <w:tcPr>
            <w:tcW w:w="791" w:type="dxa"/>
            <w:vAlign w:val="center"/>
          </w:tcPr>
          <w:p w14:paraId="2222CB73"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787" w:type="dxa"/>
            <w:vAlign w:val="center"/>
          </w:tcPr>
          <w:p w14:paraId="2BE3B17A" w14:textId="77777777"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1014" w:type="dxa"/>
            <w:vAlign w:val="center"/>
          </w:tcPr>
          <w:p w14:paraId="591C5FB9" w14:textId="56518E1F" w:rsidR="009F4EE4" w:rsidRPr="00AC625C" w:rsidRDefault="009F4EE4" w:rsidP="001A1F3D">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2B5B6D">
              <w:rPr>
                <w:rFonts w:ascii="Arial" w:hAnsi="Arial" w:cs="Arial"/>
                <w:sz w:val="18"/>
                <w:szCs w:val="18"/>
              </w:rPr>
              <w:t>2.</w:t>
            </w:r>
            <w:r w:rsidR="00702F57">
              <w:rPr>
                <w:rFonts w:ascii="Arial" w:hAnsi="Arial" w:cs="Arial"/>
                <w:sz w:val="18"/>
                <w:szCs w:val="18"/>
              </w:rPr>
              <w:t>2</w:t>
            </w:r>
            <w:r>
              <w:rPr>
                <w:rFonts w:ascii="Arial" w:hAnsi="Arial" w:cs="Arial"/>
                <w:sz w:val="18"/>
                <w:szCs w:val="18"/>
              </w:rPr>
              <w:t>%</w:t>
            </w:r>
          </w:p>
        </w:tc>
      </w:tr>
      <w:bookmarkEnd w:id="3"/>
      <w:bookmarkEnd w:id="4"/>
    </w:tbl>
    <w:p w14:paraId="4B26E397" w14:textId="77777777" w:rsidR="009F4EE4" w:rsidRPr="00492C26" w:rsidRDefault="009F4EE4" w:rsidP="009F4EE4">
      <w:pPr>
        <w:pStyle w:val="NoSpacing"/>
        <w:rPr>
          <w:sz w:val="8"/>
          <w:szCs w:val="8"/>
        </w:rPr>
      </w:pPr>
    </w:p>
    <w:p w14:paraId="2DF5E5A2" w14:textId="77777777" w:rsidR="009F4EE4" w:rsidRPr="00492C26" w:rsidRDefault="009F4EE4" w:rsidP="009F4EE4">
      <w:pPr>
        <w:pStyle w:val="NoSpacing"/>
        <w:rPr>
          <w:rFonts w:ascii="Arial" w:hAnsi="Arial" w:cs="Arial"/>
          <w:sz w:val="16"/>
          <w:szCs w:val="16"/>
        </w:rPr>
      </w:pPr>
      <w:r w:rsidRPr="00492C26">
        <w:rPr>
          <w:rFonts w:ascii="Arial" w:hAnsi="Arial" w:cs="Arial"/>
          <w:sz w:val="16"/>
          <w:szCs w:val="16"/>
        </w:rPr>
        <w:t xml:space="preserve">Source: </w:t>
      </w:r>
      <w:proofErr w:type="spellStart"/>
      <w:r w:rsidRPr="00492C26">
        <w:rPr>
          <w:rFonts w:ascii="Arial" w:hAnsi="Arial" w:cs="Arial"/>
          <w:sz w:val="16"/>
          <w:szCs w:val="16"/>
        </w:rPr>
        <w:t>Circana</w:t>
      </w:r>
      <w:proofErr w:type="spellEnd"/>
      <w:r w:rsidRPr="00492C26">
        <w:rPr>
          <w:rFonts w:ascii="Arial" w:hAnsi="Arial" w:cs="Arial"/>
          <w:sz w:val="16"/>
          <w:szCs w:val="16"/>
        </w:rPr>
        <w:t>, Integrated Fresh, Total U.S., MULO+</w:t>
      </w:r>
    </w:p>
    <w:bookmarkEnd w:id="5"/>
    <w:p w14:paraId="0B6006D6" w14:textId="2CE24D71" w:rsidR="00137F89" w:rsidRDefault="00137F89" w:rsidP="00137F89">
      <w:pPr>
        <w:pStyle w:val="NoSpacing"/>
        <w:rPr>
          <w:rFonts w:ascii="Arial" w:hAnsi="Arial" w:cs="Arial"/>
          <w:sz w:val="20"/>
          <w:szCs w:val="20"/>
        </w:rPr>
      </w:pPr>
    </w:p>
    <w:p w14:paraId="24F9F5EA" w14:textId="2B57F8FD" w:rsidR="003C0E12" w:rsidRDefault="00091743" w:rsidP="00A54264">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124EE7">
        <w:rPr>
          <w:rFonts w:ascii="Arial" w:hAnsi="Arial" w:cs="Arial"/>
          <w:color w:val="000000" w:themeColor="text1"/>
          <w:sz w:val="20"/>
          <w:szCs w:val="20"/>
        </w:rPr>
        <w:t>$</w:t>
      </w:r>
      <w:r w:rsidR="002B5B6D">
        <w:rPr>
          <w:rFonts w:ascii="Arial" w:hAnsi="Arial" w:cs="Arial"/>
          <w:color w:val="000000" w:themeColor="text1"/>
          <w:sz w:val="20"/>
          <w:szCs w:val="20"/>
        </w:rPr>
        <w:t>4.6</w:t>
      </w:r>
      <w:r w:rsidR="00702F57">
        <w:rPr>
          <w:rFonts w:ascii="Arial" w:hAnsi="Arial" w:cs="Arial"/>
          <w:color w:val="000000" w:themeColor="text1"/>
          <w:sz w:val="20"/>
          <w:szCs w:val="20"/>
        </w:rPr>
        <w:t>7</w:t>
      </w:r>
      <w:r w:rsidR="00BD345C">
        <w:rPr>
          <w:rFonts w:ascii="Arial" w:hAnsi="Arial" w:cs="Arial"/>
          <w:color w:val="000000" w:themeColor="text1"/>
          <w:sz w:val="20"/>
          <w:szCs w:val="20"/>
        </w:rPr>
        <w:t xml:space="preserve"> </w:t>
      </w:r>
      <w:r w:rsidR="00A006D8">
        <w:rPr>
          <w:rFonts w:ascii="Arial" w:hAnsi="Arial" w:cs="Arial"/>
          <w:color w:val="000000" w:themeColor="text1"/>
          <w:sz w:val="20"/>
          <w:szCs w:val="20"/>
        </w:rPr>
        <w:t>in</w:t>
      </w:r>
      <w:r w:rsidR="005D2B0D">
        <w:rPr>
          <w:rFonts w:ascii="Arial" w:hAnsi="Arial" w:cs="Arial"/>
          <w:color w:val="000000" w:themeColor="text1"/>
          <w:sz w:val="20"/>
          <w:szCs w:val="20"/>
        </w:rPr>
        <w:t xml:space="preserve"> </w:t>
      </w:r>
      <w:r w:rsidR="002B5B6D">
        <w:rPr>
          <w:rFonts w:ascii="Arial" w:hAnsi="Arial" w:cs="Arial"/>
          <w:color w:val="000000" w:themeColor="text1"/>
          <w:sz w:val="20"/>
          <w:szCs w:val="20"/>
        </w:rPr>
        <w:t xml:space="preserve">October </w:t>
      </w:r>
      <w:r w:rsidR="005D2B0D">
        <w:rPr>
          <w:rFonts w:ascii="Arial" w:hAnsi="Arial" w:cs="Arial"/>
          <w:color w:val="000000" w:themeColor="text1"/>
          <w:sz w:val="20"/>
          <w:szCs w:val="20"/>
        </w:rPr>
        <w:t>2024</w:t>
      </w:r>
      <w:r w:rsidR="00786E3E">
        <w:rPr>
          <w:rFonts w:ascii="Arial" w:hAnsi="Arial" w:cs="Arial"/>
          <w:color w:val="000000" w:themeColor="text1"/>
          <w:sz w:val="20"/>
          <w:szCs w:val="20"/>
        </w:rPr>
        <w:t xml:space="preserve">, up </w:t>
      </w:r>
      <w:r w:rsidR="00702F57">
        <w:rPr>
          <w:rFonts w:ascii="Arial" w:hAnsi="Arial" w:cs="Arial"/>
          <w:color w:val="000000" w:themeColor="text1"/>
          <w:sz w:val="20"/>
          <w:szCs w:val="20"/>
        </w:rPr>
        <w:t>1.9</w:t>
      </w:r>
      <w:r w:rsidR="002E1C0B">
        <w:rPr>
          <w:rFonts w:ascii="Arial" w:hAnsi="Arial" w:cs="Arial"/>
          <w:color w:val="000000" w:themeColor="text1"/>
          <w:sz w:val="20"/>
          <w:szCs w:val="20"/>
        </w:rPr>
        <w:t>%</w:t>
      </w:r>
      <w:r w:rsidR="00F24F7D" w:rsidRPr="00A911E0">
        <w:rPr>
          <w:rFonts w:ascii="Arial" w:hAnsi="Arial" w:cs="Arial"/>
          <w:color w:val="000000" w:themeColor="text1"/>
          <w:sz w:val="20"/>
          <w:szCs w:val="20"/>
        </w:rPr>
        <w:t xml:space="preserve"> </w:t>
      </w:r>
      <w:r w:rsidR="003819D1">
        <w:rPr>
          <w:rFonts w:ascii="Arial" w:hAnsi="Arial" w:cs="Arial"/>
          <w:color w:val="000000" w:themeColor="text1"/>
          <w:sz w:val="20"/>
          <w:szCs w:val="20"/>
        </w:rPr>
        <w:t>year-on-year</w:t>
      </w:r>
      <w:r w:rsidR="004C02E5" w:rsidRPr="00A911E0">
        <w:rPr>
          <w:rFonts w:ascii="Arial" w:hAnsi="Arial" w:cs="Arial"/>
          <w:color w:val="000000" w:themeColor="text1"/>
          <w:sz w:val="20"/>
          <w:szCs w:val="20"/>
        </w:rPr>
        <w:t xml:space="preserve">. </w:t>
      </w:r>
      <w:r w:rsidR="002B5B6D">
        <w:rPr>
          <w:rFonts w:ascii="Arial" w:hAnsi="Arial" w:cs="Arial"/>
          <w:color w:val="000000" w:themeColor="text1"/>
          <w:sz w:val="20"/>
          <w:szCs w:val="20"/>
        </w:rPr>
        <w:t xml:space="preserve">Processed meat prices rose the least in </w:t>
      </w:r>
      <w:r w:rsidR="00702F57">
        <w:rPr>
          <w:rFonts w:ascii="Arial" w:hAnsi="Arial" w:cs="Arial"/>
          <w:color w:val="000000" w:themeColor="text1"/>
          <w:sz w:val="20"/>
          <w:szCs w:val="20"/>
        </w:rPr>
        <w:t>October</w:t>
      </w:r>
      <w:r w:rsidR="002B5B6D">
        <w:rPr>
          <w:rFonts w:ascii="Arial" w:hAnsi="Arial" w:cs="Arial"/>
          <w:color w:val="000000" w:themeColor="text1"/>
          <w:sz w:val="20"/>
          <w:szCs w:val="20"/>
        </w:rPr>
        <w:t>, at a mere +0.</w:t>
      </w:r>
      <w:r w:rsidR="00702F57">
        <w:rPr>
          <w:rFonts w:ascii="Arial" w:hAnsi="Arial" w:cs="Arial"/>
          <w:color w:val="000000" w:themeColor="text1"/>
          <w:sz w:val="20"/>
          <w:szCs w:val="20"/>
        </w:rPr>
        <w:t>1</w:t>
      </w:r>
      <w:r w:rsidR="002B5B6D">
        <w:rPr>
          <w:rFonts w:ascii="Arial" w:hAnsi="Arial" w:cs="Arial"/>
          <w:color w:val="000000" w:themeColor="text1"/>
          <w:sz w:val="20"/>
          <w:szCs w:val="20"/>
        </w:rPr>
        <w:t>%</w:t>
      </w:r>
      <w:r w:rsidR="005D2B0D">
        <w:rPr>
          <w:rFonts w:ascii="Arial" w:hAnsi="Arial" w:cs="Arial"/>
          <w:color w:val="000000" w:themeColor="text1"/>
          <w:sz w:val="20"/>
          <w:szCs w:val="20"/>
        </w:rPr>
        <w:t xml:space="preserve">. </w:t>
      </w:r>
    </w:p>
    <w:p w14:paraId="6B134289" w14:textId="77777777" w:rsidR="00E96E7F" w:rsidRDefault="00E96E7F" w:rsidP="00A54264">
      <w:pPr>
        <w:spacing w:after="0" w:line="240" w:lineRule="auto"/>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094547" w:rsidRPr="00FA2467" w14:paraId="09ED1CF0" w14:textId="77777777" w:rsidTr="00DC71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56154DC5" w:rsidR="00094547" w:rsidRPr="00FA2467" w:rsidRDefault="00094547" w:rsidP="00094547">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sidR="002B5B6D">
              <w:rPr>
                <w:rFonts w:ascii="Arial" w:hAnsi="Arial" w:cs="Arial"/>
                <w:b w:val="0"/>
                <w:bCs w:val="0"/>
                <w:color w:val="000000" w:themeColor="text1"/>
                <w:sz w:val="18"/>
                <w:szCs w:val="18"/>
              </w:rPr>
              <w:t>October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455F7A3D" w14:textId="78E7A3CF" w:rsidR="00094547" w:rsidRPr="00FA2467" w:rsidRDefault="00094547" w:rsidP="00DC71A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C71A5">
              <w:rPr>
                <w:rFonts w:ascii="Arial" w:hAnsi="Arial" w:cs="Arial"/>
                <w:color w:val="000000" w:themeColor="text1"/>
                <w:sz w:val="18"/>
                <w:szCs w:val="18"/>
              </w:rPr>
              <w:t>4</w:t>
            </w:r>
            <w:r w:rsidR="002B5B6D">
              <w:rPr>
                <w:rFonts w:ascii="Arial" w:hAnsi="Arial" w:cs="Arial"/>
                <w:color w:val="000000" w:themeColor="text1"/>
                <w:sz w:val="18"/>
                <w:szCs w:val="18"/>
              </w:rPr>
              <w:t>.6</w:t>
            </w:r>
            <w:r w:rsidR="00702F57">
              <w:rPr>
                <w:rFonts w:ascii="Arial" w:hAnsi="Arial" w:cs="Arial"/>
                <w:color w:val="000000" w:themeColor="text1"/>
                <w:sz w:val="18"/>
                <w:szCs w:val="18"/>
              </w:rPr>
              <w:t>7</w:t>
            </w:r>
          </w:p>
        </w:tc>
        <w:tc>
          <w:tcPr>
            <w:tcW w:w="1916" w:type="dxa"/>
            <w:shd w:val="clear" w:color="auto" w:fill="D9D9D9" w:themeFill="background1" w:themeFillShade="D9"/>
            <w:vAlign w:val="center"/>
          </w:tcPr>
          <w:p w14:paraId="7AE1541E" w14:textId="3C91AA34"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702F57">
              <w:rPr>
                <w:rFonts w:ascii="Arial" w:hAnsi="Arial" w:cs="Arial"/>
                <w:color w:val="000000" w:themeColor="text1"/>
                <w:sz w:val="18"/>
                <w:szCs w:val="18"/>
              </w:rPr>
              <w:t>1.9</w:t>
            </w:r>
            <w:r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11B92DDE"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2B5B6D">
              <w:rPr>
                <w:rFonts w:ascii="Arial" w:hAnsi="Arial" w:cs="Arial"/>
                <w:color w:val="000000" w:themeColor="text1"/>
                <w:sz w:val="18"/>
                <w:szCs w:val="18"/>
              </w:rPr>
              <w:t>11.5</w:t>
            </w:r>
            <w:r w:rsidRPr="006C27B0">
              <w:rPr>
                <w:rFonts w:ascii="Arial" w:hAnsi="Arial" w:cs="Arial"/>
                <w:color w:val="000000" w:themeColor="text1"/>
                <w:sz w:val="18"/>
                <w:szCs w:val="18"/>
              </w:rPr>
              <w:t>%</w:t>
            </w:r>
          </w:p>
        </w:tc>
      </w:tr>
      <w:tr w:rsidR="00094547" w:rsidRPr="00FA2467" w14:paraId="5EE5E6D3" w14:textId="77777777" w:rsidTr="00DC71A5">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094547" w:rsidRPr="00FA2467" w:rsidRDefault="00094547" w:rsidP="00094547">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3C543AB7"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3D4D68">
              <w:rPr>
                <w:rFonts w:ascii="Arial" w:hAnsi="Arial" w:cs="Arial"/>
                <w:color w:val="000000" w:themeColor="text1"/>
                <w:sz w:val="18"/>
                <w:szCs w:val="18"/>
              </w:rPr>
              <w:t>$</w:t>
            </w:r>
            <w:r w:rsidR="00DC71A5">
              <w:rPr>
                <w:rFonts w:ascii="Arial" w:hAnsi="Arial" w:cs="Arial"/>
                <w:color w:val="000000" w:themeColor="text1"/>
                <w:sz w:val="18"/>
                <w:szCs w:val="18"/>
              </w:rPr>
              <w:t>4.5</w:t>
            </w:r>
            <w:r w:rsidR="002B5B6D">
              <w:rPr>
                <w:rFonts w:ascii="Arial" w:hAnsi="Arial" w:cs="Arial"/>
                <w:color w:val="000000" w:themeColor="text1"/>
                <w:sz w:val="18"/>
                <w:szCs w:val="18"/>
              </w:rPr>
              <w:t>7</w:t>
            </w:r>
          </w:p>
        </w:tc>
        <w:tc>
          <w:tcPr>
            <w:tcW w:w="1916" w:type="dxa"/>
            <w:vAlign w:val="center"/>
          </w:tcPr>
          <w:p w14:paraId="07F7B511" w14:textId="0DCE874F"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2.</w:t>
            </w:r>
            <w:r w:rsidR="002B5B6D">
              <w:rPr>
                <w:rFonts w:ascii="Arial" w:hAnsi="Arial" w:cs="Arial"/>
                <w:color w:val="000000" w:themeColor="text1"/>
                <w:sz w:val="18"/>
                <w:szCs w:val="18"/>
              </w:rPr>
              <w:t>2</w:t>
            </w:r>
            <w:r w:rsidRPr="006C27B0">
              <w:rPr>
                <w:rFonts w:ascii="Arial" w:hAnsi="Arial" w:cs="Arial"/>
                <w:color w:val="000000" w:themeColor="text1"/>
                <w:sz w:val="18"/>
                <w:szCs w:val="18"/>
              </w:rPr>
              <w:t>%</w:t>
            </w:r>
          </w:p>
        </w:tc>
        <w:tc>
          <w:tcPr>
            <w:tcW w:w="2276" w:type="dxa"/>
            <w:vAlign w:val="center"/>
          </w:tcPr>
          <w:p w14:paraId="44E9F842" w14:textId="39B15D8B"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1</w:t>
            </w:r>
            <w:r w:rsidR="002B5B6D">
              <w:rPr>
                <w:rFonts w:ascii="Arial" w:hAnsi="Arial" w:cs="Arial"/>
                <w:color w:val="000000" w:themeColor="text1"/>
                <w:sz w:val="18"/>
                <w:szCs w:val="18"/>
              </w:rPr>
              <w:t>3.7</w:t>
            </w:r>
            <w:r w:rsidRPr="006C27B0">
              <w:rPr>
                <w:rFonts w:ascii="Arial" w:hAnsi="Arial" w:cs="Arial"/>
                <w:color w:val="000000" w:themeColor="text1"/>
                <w:sz w:val="18"/>
                <w:szCs w:val="18"/>
              </w:rPr>
              <w:t>%</w:t>
            </w:r>
          </w:p>
        </w:tc>
      </w:tr>
      <w:tr w:rsidR="00094547" w:rsidRPr="00FA2467" w14:paraId="18E69721" w14:textId="77777777" w:rsidTr="00DC71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08ABAE42" w:rsidR="00094547" w:rsidRPr="00FA2467" w:rsidRDefault="00094547" w:rsidP="00094547">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sidR="002B5B6D">
              <w:rPr>
                <w:rFonts w:ascii="Arial" w:hAnsi="Arial" w:cs="Arial"/>
                <w:b w:val="0"/>
                <w:bCs w:val="0"/>
                <w:color w:val="000000" w:themeColor="text1"/>
                <w:sz w:val="18"/>
                <w:szCs w:val="18"/>
              </w:rPr>
              <w:t>October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6B83A026" w14:textId="4AF157C7"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D4D68">
              <w:rPr>
                <w:rFonts w:ascii="Arial" w:hAnsi="Arial" w:cs="Arial"/>
                <w:color w:val="000000" w:themeColor="text1"/>
                <w:sz w:val="18"/>
                <w:szCs w:val="18"/>
              </w:rPr>
              <w:t>$</w:t>
            </w:r>
            <w:r w:rsidR="00DC71A5">
              <w:rPr>
                <w:rFonts w:ascii="Arial" w:hAnsi="Arial" w:cs="Arial"/>
                <w:color w:val="000000" w:themeColor="text1"/>
                <w:sz w:val="18"/>
                <w:szCs w:val="18"/>
              </w:rPr>
              <w:t>4.</w:t>
            </w:r>
            <w:r w:rsidR="002B5B6D">
              <w:rPr>
                <w:rFonts w:ascii="Arial" w:hAnsi="Arial" w:cs="Arial"/>
                <w:color w:val="000000" w:themeColor="text1"/>
                <w:sz w:val="18"/>
                <w:szCs w:val="18"/>
              </w:rPr>
              <w:t>48</w:t>
            </w:r>
          </w:p>
        </w:tc>
        <w:tc>
          <w:tcPr>
            <w:tcW w:w="1916" w:type="dxa"/>
            <w:shd w:val="clear" w:color="auto" w:fill="D9D9D9" w:themeFill="background1" w:themeFillShade="D9"/>
            <w:vAlign w:val="center"/>
          </w:tcPr>
          <w:p w14:paraId="33A3CEB6" w14:textId="40FB067A"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702F57">
              <w:rPr>
                <w:rFonts w:ascii="Arial" w:hAnsi="Arial" w:cs="Arial"/>
                <w:color w:val="000000" w:themeColor="text1"/>
                <w:sz w:val="18"/>
                <w:szCs w:val="18"/>
              </w:rPr>
              <w:t>2.9</w:t>
            </w:r>
            <w:r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6C045C78"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8.4</w:t>
            </w:r>
            <w:r w:rsidRPr="006C27B0">
              <w:rPr>
                <w:rFonts w:ascii="Arial" w:hAnsi="Arial" w:cs="Arial"/>
                <w:color w:val="000000" w:themeColor="text1"/>
                <w:sz w:val="18"/>
                <w:szCs w:val="18"/>
              </w:rPr>
              <w:t>%</w:t>
            </w:r>
          </w:p>
        </w:tc>
      </w:tr>
      <w:tr w:rsidR="00094547" w:rsidRPr="00FA2467" w14:paraId="0B920D1D" w14:textId="77777777" w:rsidTr="00DC71A5">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094547" w:rsidRPr="00FA2467" w:rsidRDefault="00094547" w:rsidP="00094547">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446E6658"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3D4D68">
              <w:rPr>
                <w:rFonts w:ascii="Arial" w:hAnsi="Arial" w:cs="Arial"/>
                <w:color w:val="000000" w:themeColor="text1"/>
                <w:sz w:val="18"/>
                <w:szCs w:val="18"/>
              </w:rPr>
              <w:t>$</w:t>
            </w:r>
            <w:r w:rsidR="00DC71A5">
              <w:rPr>
                <w:rFonts w:ascii="Arial" w:hAnsi="Arial" w:cs="Arial"/>
                <w:color w:val="000000" w:themeColor="text1"/>
                <w:sz w:val="18"/>
                <w:szCs w:val="18"/>
              </w:rPr>
              <w:t>4.4</w:t>
            </w:r>
            <w:r w:rsidR="002B5B6D">
              <w:rPr>
                <w:rFonts w:ascii="Arial" w:hAnsi="Arial" w:cs="Arial"/>
                <w:color w:val="000000" w:themeColor="text1"/>
                <w:sz w:val="18"/>
                <w:szCs w:val="18"/>
              </w:rPr>
              <w:t>2</w:t>
            </w:r>
          </w:p>
        </w:tc>
        <w:tc>
          <w:tcPr>
            <w:tcW w:w="1916" w:type="dxa"/>
            <w:vAlign w:val="center"/>
          </w:tcPr>
          <w:p w14:paraId="4EA83057" w14:textId="21A8ACE2"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3.</w:t>
            </w:r>
            <w:r w:rsidR="002B5B6D">
              <w:rPr>
                <w:rFonts w:ascii="Arial" w:hAnsi="Arial" w:cs="Arial"/>
                <w:color w:val="000000" w:themeColor="text1"/>
                <w:sz w:val="18"/>
                <w:szCs w:val="18"/>
              </w:rPr>
              <w:t>4</w:t>
            </w:r>
            <w:r w:rsidRPr="006C27B0">
              <w:rPr>
                <w:rFonts w:ascii="Arial" w:hAnsi="Arial" w:cs="Arial"/>
                <w:color w:val="000000" w:themeColor="text1"/>
                <w:sz w:val="18"/>
                <w:szCs w:val="18"/>
              </w:rPr>
              <w:t>%</w:t>
            </w:r>
          </w:p>
        </w:tc>
        <w:tc>
          <w:tcPr>
            <w:tcW w:w="2276" w:type="dxa"/>
            <w:vAlign w:val="center"/>
          </w:tcPr>
          <w:p w14:paraId="2553668E" w14:textId="004654E8"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1</w:t>
            </w:r>
            <w:r w:rsidR="002B5B6D">
              <w:rPr>
                <w:rFonts w:ascii="Arial" w:hAnsi="Arial" w:cs="Arial"/>
                <w:color w:val="000000" w:themeColor="text1"/>
                <w:sz w:val="18"/>
                <w:szCs w:val="18"/>
              </w:rPr>
              <w:t>3.0</w:t>
            </w:r>
            <w:r w:rsidRPr="006C27B0">
              <w:rPr>
                <w:rFonts w:ascii="Arial" w:hAnsi="Arial" w:cs="Arial"/>
                <w:color w:val="000000" w:themeColor="text1"/>
                <w:sz w:val="18"/>
                <w:szCs w:val="18"/>
              </w:rPr>
              <w:t>%</w:t>
            </w:r>
          </w:p>
        </w:tc>
      </w:tr>
      <w:tr w:rsidR="00094547" w:rsidRPr="00FA2467" w14:paraId="3EEE9FA8" w14:textId="77777777" w:rsidTr="00DC71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2B46E09A" w:rsidR="00094547" w:rsidRPr="00FA2467" w:rsidRDefault="00094547" w:rsidP="00094547">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sidR="002B5B6D">
              <w:rPr>
                <w:rFonts w:ascii="Arial" w:hAnsi="Arial" w:cs="Arial"/>
                <w:b w:val="0"/>
                <w:bCs w:val="0"/>
                <w:color w:val="000000" w:themeColor="text1"/>
                <w:sz w:val="18"/>
                <w:szCs w:val="18"/>
              </w:rPr>
              <w:t>October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11F8D089" w14:textId="19C52AAF"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D4D68">
              <w:rPr>
                <w:rFonts w:ascii="Arial" w:hAnsi="Arial" w:cs="Arial"/>
                <w:color w:val="000000" w:themeColor="text1"/>
                <w:sz w:val="18"/>
                <w:szCs w:val="18"/>
              </w:rPr>
              <w:t>$</w:t>
            </w:r>
            <w:r w:rsidR="00DC71A5">
              <w:rPr>
                <w:rFonts w:ascii="Arial" w:hAnsi="Arial" w:cs="Arial"/>
                <w:color w:val="000000" w:themeColor="text1"/>
                <w:sz w:val="18"/>
                <w:szCs w:val="18"/>
              </w:rPr>
              <w:t>5.18</w:t>
            </w:r>
          </w:p>
        </w:tc>
        <w:tc>
          <w:tcPr>
            <w:tcW w:w="1916" w:type="dxa"/>
            <w:shd w:val="clear" w:color="auto" w:fill="D9D9D9" w:themeFill="background1" w:themeFillShade="D9"/>
            <w:vAlign w:val="center"/>
          </w:tcPr>
          <w:p w14:paraId="1164D3F1" w14:textId="66C608A2" w:rsidR="00094547" w:rsidRPr="00FA2467" w:rsidRDefault="002B5B6D"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w:t>
            </w:r>
            <w:r w:rsidR="00702F57">
              <w:rPr>
                <w:rFonts w:ascii="Arial" w:hAnsi="Arial" w:cs="Arial"/>
                <w:color w:val="000000" w:themeColor="text1"/>
                <w:sz w:val="18"/>
                <w:szCs w:val="18"/>
              </w:rPr>
              <w:t>1</w:t>
            </w:r>
            <w:r w:rsidR="00094547"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01935C91"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DC71A5">
              <w:rPr>
                <w:rFonts w:ascii="Arial" w:hAnsi="Arial" w:cs="Arial"/>
                <w:color w:val="000000" w:themeColor="text1"/>
                <w:sz w:val="18"/>
                <w:szCs w:val="18"/>
              </w:rPr>
              <w:t>8.6</w:t>
            </w:r>
            <w:r w:rsidRPr="006C27B0">
              <w:rPr>
                <w:rFonts w:ascii="Arial" w:hAnsi="Arial" w:cs="Arial"/>
                <w:color w:val="000000" w:themeColor="text1"/>
                <w:sz w:val="18"/>
                <w:szCs w:val="18"/>
              </w:rPr>
              <w:t>%</w:t>
            </w:r>
          </w:p>
        </w:tc>
      </w:tr>
      <w:tr w:rsidR="00094547" w:rsidRPr="00FA2467" w14:paraId="1B87A5BB" w14:textId="77777777" w:rsidTr="00DC71A5">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094547" w:rsidRPr="00FA2467" w:rsidRDefault="00094547" w:rsidP="00094547">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vAlign w:val="center"/>
          </w:tcPr>
          <w:p w14:paraId="51A62CEF" w14:textId="25F20823"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3D4D68">
              <w:rPr>
                <w:rFonts w:ascii="Arial" w:hAnsi="Arial" w:cs="Arial"/>
                <w:color w:val="000000" w:themeColor="text1"/>
                <w:sz w:val="18"/>
                <w:szCs w:val="18"/>
              </w:rPr>
              <w:t>$</w:t>
            </w:r>
            <w:r w:rsidR="00DC71A5">
              <w:rPr>
                <w:rFonts w:ascii="Arial" w:hAnsi="Arial" w:cs="Arial"/>
                <w:color w:val="000000" w:themeColor="text1"/>
                <w:sz w:val="18"/>
                <w:szCs w:val="18"/>
              </w:rPr>
              <w:t>4.94</w:t>
            </w:r>
          </w:p>
        </w:tc>
        <w:tc>
          <w:tcPr>
            <w:tcW w:w="1916" w:type="dxa"/>
            <w:vAlign w:val="center"/>
          </w:tcPr>
          <w:p w14:paraId="6F16B379" w14:textId="26C678AC" w:rsidR="00094547" w:rsidRPr="00FA2467" w:rsidRDefault="002B5B6D"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color w:val="000000" w:themeColor="text1"/>
                <w:sz w:val="18"/>
                <w:szCs w:val="18"/>
              </w:rPr>
              <w:t>-</w:t>
            </w:r>
            <w:r w:rsidR="00DC71A5">
              <w:rPr>
                <w:rFonts w:ascii="Arial" w:hAnsi="Arial" w:cs="Arial"/>
                <w:color w:val="000000" w:themeColor="text1"/>
                <w:sz w:val="18"/>
                <w:szCs w:val="18"/>
              </w:rPr>
              <w:t>0.</w:t>
            </w:r>
            <w:r>
              <w:rPr>
                <w:rFonts w:ascii="Arial" w:hAnsi="Arial" w:cs="Arial"/>
                <w:color w:val="000000" w:themeColor="text1"/>
                <w:sz w:val="18"/>
                <w:szCs w:val="18"/>
              </w:rPr>
              <w:t>2</w:t>
            </w:r>
            <w:r w:rsidR="00094547" w:rsidRPr="006C27B0">
              <w:rPr>
                <w:rFonts w:ascii="Arial" w:hAnsi="Arial" w:cs="Arial"/>
                <w:color w:val="000000" w:themeColor="text1"/>
                <w:sz w:val="18"/>
                <w:szCs w:val="18"/>
              </w:rPr>
              <w:t>%</w:t>
            </w:r>
          </w:p>
        </w:tc>
        <w:tc>
          <w:tcPr>
            <w:tcW w:w="2276" w:type="dxa"/>
            <w:vAlign w:val="center"/>
          </w:tcPr>
          <w:p w14:paraId="54F02350" w14:textId="667494EB" w:rsidR="00094547" w:rsidRPr="00FA2467" w:rsidRDefault="00094547" w:rsidP="00DC71A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2B5B6D">
              <w:rPr>
                <w:rFonts w:ascii="Arial" w:hAnsi="Arial" w:cs="Arial"/>
                <w:color w:val="000000" w:themeColor="text1"/>
                <w:sz w:val="18"/>
                <w:szCs w:val="18"/>
              </w:rPr>
              <w:t>8.5</w:t>
            </w:r>
            <w:r w:rsidRPr="006C27B0">
              <w:rPr>
                <w:rFonts w:ascii="Arial" w:hAnsi="Arial" w:cs="Arial"/>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r w:rsidR="00FB48FE" w:rsidRPr="00FA2467">
        <w:rPr>
          <w:rFonts w:ascii="Arial" w:hAnsi="Arial" w:cs="Arial"/>
          <w:color w:val="7F7F7F" w:themeColor="text1" w:themeTint="80"/>
          <w:sz w:val="16"/>
          <w:szCs w:val="16"/>
        </w:rPr>
        <w:t>Circana</w:t>
      </w:r>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2A071B7D" w14:textId="77777777" w:rsidR="00A54264" w:rsidRDefault="00A54264" w:rsidP="003C65CF">
      <w:pPr>
        <w:pStyle w:val="NoSpacing"/>
        <w:rPr>
          <w:rFonts w:ascii="Arial" w:hAnsi="Arial" w:cs="Arial"/>
          <w:sz w:val="20"/>
          <w:szCs w:val="20"/>
        </w:rPr>
      </w:pPr>
    </w:p>
    <w:p w14:paraId="11515993" w14:textId="77777777" w:rsidR="00124EE7" w:rsidRDefault="00124EE7" w:rsidP="003C65CF">
      <w:pPr>
        <w:pStyle w:val="NoSpacing"/>
        <w:rPr>
          <w:rFonts w:ascii="Arial" w:hAnsi="Arial" w:cs="Arial"/>
          <w:sz w:val="20"/>
          <w:szCs w:val="20"/>
        </w:rPr>
      </w:pPr>
    </w:p>
    <w:p w14:paraId="420566C6" w14:textId="6E710555" w:rsidR="00A54264" w:rsidRDefault="00702F57" w:rsidP="003C65CF">
      <w:pPr>
        <w:pStyle w:val="NoSpacing"/>
        <w:rPr>
          <w:rFonts w:ascii="Arial" w:hAnsi="Arial" w:cs="Arial"/>
          <w:sz w:val="20"/>
          <w:szCs w:val="20"/>
        </w:rPr>
      </w:pPr>
      <w:r>
        <w:rPr>
          <w:rFonts w:ascii="Arial" w:hAnsi="Arial" w:cs="Arial"/>
          <w:sz w:val="20"/>
          <w:szCs w:val="20"/>
        </w:rPr>
        <w:t xml:space="preserve">October </w:t>
      </w:r>
      <w:r w:rsidR="0026382C">
        <w:rPr>
          <w:rFonts w:ascii="Arial" w:hAnsi="Arial" w:cs="Arial"/>
          <w:sz w:val="20"/>
          <w:szCs w:val="20"/>
        </w:rPr>
        <w:t xml:space="preserve">brought </w:t>
      </w:r>
      <w:r w:rsidR="006D1042">
        <w:rPr>
          <w:rFonts w:ascii="Arial" w:hAnsi="Arial" w:cs="Arial"/>
          <w:sz w:val="20"/>
          <w:szCs w:val="20"/>
        </w:rPr>
        <w:t>a mix of price movements.</w:t>
      </w:r>
      <w:r w:rsidR="00182993">
        <w:rPr>
          <w:rFonts w:ascii="Arial" w:hAnsi="Arial" w:cs="Arial"/>
          <w:sz w:val="20"/>
          <w:szCs w:val="20"/>
        </w:rPr>
        <w:t xml:space="preserve"> </w:t>
      </w:r>
      <w:r w:rsidR="00C71B94">
        <w:rPr>
          <w:rFonts w:ascii="Arial" w:hAnsi="Arial" w:cs="Arial"/>
          <w:sz w:val="20"/>
          <w:szCs w:val="20"/>
        </w:rPr>
        <w:t>B</w:t>
      </w:r>
      <w:r w:rsidR="00182993">
        <w:rPr>
          <w:rFonts w:ascii="Arial" w:hAnsi="Arial" w:cs="Arial"/>
          <w:sz w:val="20"/>
          <w:szCs w:val="20"/>
        </w:rPr>
        <w:t xml:space="preserve">eef and </w:t>
      </w:r>
      <w:r w:rsidR="00C71B94">
        <w:rPr>
          <w:rFonts w:ascii="Arial" w:hAnsi="Arial" w:cs="Arial"/>
          <w:sz w:val="20"/>
          <w:szCs w:val="20"/>
        </w:rPr>
        <w:t>hot dogs</w:t>
      </w:r>
      <w:r w:rsidR="00255C5C">
        <w:rPr>
          <w:rFonts w:ascii="Arial" w:hAnsi="Arial" w:cs="Arial"/>
          <w:sz w:val="20"/>
          <w:szCs w:val="20"/>
        </w:rPr>
        <w:t xml:space="preserve"> increased further, but it was fresh exotic (which includes bison) that had the highest price increase in October, at +</w:t>
      </w:r>
      <w:r w:rsidR="00AE5A9A">
        <w:rPr>
          <w:rFonts w:ascii="Arial" w:hAnsi="Arial" w:cs="Arial"/>
          <w:sz w:val="20"/>
          <w:szCs w:val="20"/>
        </w:rPr>
        <w:t>6</w:t>
      </w:r>
      <w:r w:rsidR="00255C5C">
        <w:rPr>
          <w:rFonts w:ascii="Arial" w:hAnsi="Arial" w:cs="Arial"/>
          <w:sz w:val="20"/>
          <w:szCs w:val="20"/>
        </w:rPr>
        <w:t>.8% over last year’s October. Several proteins experienced price decreases, including lamb, bacon and processed chicken</w:t>
      </w:r>
      <w:r w:rsidR="00182993">
        <w:rPr>
          <w:rFonts w:ascii="Arial" w:hAnsi="Arial" w:cs="Arial"/>
          <w:sz w:val="20"/>
          <w:szCs w:val="20"/>
        </w:rPr>
        <w:t>.</w:t>
      </w:r>
    </w:p>
    <w:p w14:paraId="382DFD28" w14:textId="77777777" w:rsidR="002B5B6D" w:rsidRDefault="00182993" w:rsidP="00124EE7">
      <w:pPr>
        <w:pStyle w:val="NoSpacing"/>
        <w:tabs>
          <w:tab w:val="left" w:pos="1260"/>
        </w:tabs>
        <w:rPr>
          <w:rFonts w:ascii="Arial" w:hAnsi="Arial" w:cs="Arial"/>
          <w:sz w:val="20"/>
          <w:szCs w:val="20"/>
        </w:rPr>
      </w:pPr>
      <w:r>
        <w:rPr>
          <w:rFonts w:ascii="Arial" w:hAnsi="Arial" w:cs="Arial"/>
          <w:sz w:val="20"/>
          <w:szCs w:val="20"/>
        </w:rPr>
        <w:t xml:space="preserve"> </w:t>
      </w:r>
    </w:p>
    <w:p w14:paraId="0FBA2D42" w14:textId="77777777" w:rsidR="002B5B6D" w:rsidRDefault="002B5B6D">
      <w:pPr>
        <w:rPr>
          <w:rFonts w:ascii="Arial" w:hAnsi="Arial" w:cs="Arial"/>
          <w:sz w:val="20"/>
          <w:szCs w:val="20"/>
        </w:rPr>
      </w:pPr>
      <w:r>
        <w:rPr>
          <w:rFonts w:ascii="Arial" w:hAnsi="Arial" w:cs="Arial"/>
          <w:sz w:val="20"/>
          <w:szCs w:val="20"/>
        </w:rPr>
        <w:br w:type="page"/>
      </w:r>
    </w:p>
    <w:p w14:paraId="2504AC37" w14:textId="5755C02C" w:rsidR="00C771BB" w:rsidRDefault="00124EE7" w:rsidP="00124EE7">
      <w:pPr>
        <w:pStyle w:val="NoSpacing"/>
        <w:tabs>
          <w:tab w:val="left" w:pos="1260"/>
        </w:tabs>
        <w:rPr>
          <w:rFonts w:ascii="Arial" w:hAnsi="Arial" w:cs="Arial"/>
          <w:sz w:val="20"/>
          <w:szCs w:val="20"/>
        </w:rPr>
      </w:pPr>
      <w:r>
        <w:rPr>
          <w:rFonts w:ascii="Arial" w:hAnsi="Arial" w:cs="Arial"/>
          <w:sz w:val="20"/>
          <w:szCs w:val="20"/>
        </w:rPr>
        <w:lastRenderedPageBreak/>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773"/>
        <w:gridCol w:w="1260"/>
        <w:gridCol w:w="1277"/>
        <w:gridCol w:w="2160"/>
        <w:gridCol w:w="1087"/>
        <w:gridCol w:w="1508"/>
      </w:tblGrid>
      <w:tr w:rsidR="00F10E39" w:rsidRPr="003C245B" w14:paraId="46707496" w14:textId="03010C93" w:rsidTr="00E35E7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bottom w:val="none" w:sz="0" w:space="0" w:color="auto"/>
            </w:tcBorders>
            <w:shd w:val="clear" w:color="auto" w:fill="17365D" w:themeFill="text2" w:themeFillShade="BF"/>
            <w:vAlign w:val="center"/>
          </w:tcPr>
          <w:p w14:paraId="20D1E7FB" w14:textId="6D1B6A16" w:rsidR="00F10E39" w:rsidRPr="00182993" w:rsidRDefault="00297E8F" w:rsidP="00A27621">
            <w:pPr>
              <w:pStyle w:val="NoSpacing"/>
              <w:rPr>
                <w:rFonts w:ascii="Arial" w:hAnsi="Arial" w:cs="Arial"/>
                <w:color w:val="FFFFFF" w:themeColor="background1"/>
                <w:sz w:val="20"/>
                <w:szCs w:val="20"/>
              </w:rPr>
            </w:pPr>
            <w:bookmarkStart w:id="7" w:name="_Hlk102723196"/>
            <w:r>
              <w:rPr>
                <w:rFonts w:ascii="Arial" w:hAnsi="Arial" w:cs="Arial"/>
                <w:color w:val="FFFFFF" w:themeColor="background1"/>
                <w:sz w:val="20"/>
                <w:szCs w:val="20"/>
              </w:rPr>
              <w:t xml:space="preserve">October </w:t>
            </w:r>
            <w:r w:rsidR="001F639F" w:rsidRPr="00182993">
              <w:rPr>
                <w:rFonts w:ascii="Arial" w:hAnsi="Arial" w:cs="Arial"/>
                <w:color w:val="FFFFFF" w:themeColor="background1"/>
                <w:sz w:val="20"/>
                <w:szCs w:val="20"/>
              </w:rPr>
              <w:t>2024</w:t>
            </w:r>
          </w:p>
        </w:tc>
        <w:tc>
          <w:tcPr>
            <w:tcW w:w="1260" w:type="dxa"/>
            <w:tcBorders>
              <w:top w:val="none" w:sz="0" w:space="0" w:color="auto"/>
              <w:bottom w:val="none" w:sz="0" w:space="0" w:color="auto"/>
            </w:tcBorders>
            <w:shd w:val="clear" w:color="auto" w:fill="17365D" w:themeFill="text2" w:themeFillShade="BF"/>
            <w:vAlign w:val="center"/>
          </w:tcPr>
          <w:p w14:paraId="2FBD3E48"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277" w:type="dxa"/>
            <w:tcBorders>
              <w:top w:val="none" w:sz="0" w:space="0" w:color="auto"/>
              <w:bottom w:val="none" w:sz="0" w:space="0" w:color="auto"/>
            </w:tcBorders>
            <w:shd w:val="clear" w:color="auto" w:fill="17365D" w:themeFill="text2" w:themeFillShade="BF"/>
            <w:vAlign w:val="center"/>
          </w:tcPr>
          <w:p w14:paraId="0A0B2F8B"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18299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r>
      <w:tr w:rsidR="00094547" w:rsidRPr="00C267F7" w14:paraId="283F595F" w14:textId="1C970840" w:rsidTr="000945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335722F" w14:textId="2C02950A"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1260" w:type="dxa"/>
            <w:shd w:val="clear" w:color="auto" w:fill="D9D9D9" w:themeFill="background1" w:themeFillShade="D9"/>
            <w:vAlign w:val="bottom"/>
          </w:tcPr>
          <w:p w14:paraId="146A7129" w14:textId="0684AE85"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B20540">
              <w:rPr>
                <w:rFonts w:ascii="Arial" w:hAnsi="Arial" w:cs="Arial"/>
                <w:bCs/>
                <w:color w:val="000000"/>
                <w:sz w:val="18"/>
                <w:szCs w:val="18"/>
              </w:rPr>
              <w:t>6.</w:t>
            </w:r>
            <w:r w:rsidR="00255C5C">
              <w:rPr>
                <w:rFonts w:ascii="Arial" w:hAnsi="Arial" w:cs="Arial"/>
                <w:bCs/>
                <w:color w:val="000000"/>
                <w:sz w:val="18"/>
                <w:szCs w:val="18"/>
              </w:rPr>
              <w:t>6</w:t>
            </w:r>
            <w:r w:rsidR="00702F57">
              <w:rPr>
                <w:rFonts w:ascii="Arial" w:hAnsi="Arial" w:cs="Arial"/>
                <w:bCs/>
                <w:color w:val="000000"/>
                <w:sz w:val="18"/>
                <w:szCs w:val="18"/>
              </w:rPr>
              <w:t>8</w:t>
            </w:r>
          </w:p>
        </w:tc>
        <w:tc>
          <w:tcPr>
            <w:tcW w:w="1277" w:type="dxa"/>
            <w:tcBorders>
              <w:right w:val="single" w:sz="4" w:space="0" w:color="31849B" w:themeColor="accent5" w:themeShade="BF"/>
            </w:tcBorders>
            <w:shd w:val="clear" w:color="auto" w:fill="D9D9D9" w:themeFill="background1" w:themeFillShade="D9"/>
          </w:tcPr>
          <w:p w14:paraId="5283DD94" w14:textId="21B57A13"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945B9">
              <w:rPr>
                <w:rFonts w:ascii="Arial" w:hAnsi="Arial" w:cs="Arial"/>
                <w:color w:val="000000" w:themeColor="text1"/>
                <w:sz w:val="18"/>
                <w:szCs w:val="18"/>
              </w:rPr>
              <w:t>+</w:t>
            </w:r>
            <w:r w:rsidR="00255C5C">
              <w:rPr>
                <w:rFonts w:ascii="Arial" w:hAnsi="Arial" w:cs="Arial"/>
                <w:color w:val="000000" w:themeColor="text1"/>
                <w:sz w:val="18"/>
                <w:szCs w:val="18"/>
              </w:rPr>
              <w:t>3.</w:t>
            </w:r>
            <w:r w:rsidR="00AE5A9A">
              <w:rPr>
                <w:rFonts w:ascii="Arial" w:hAnsi="Arial" w:cs="Arial"/>
                <w:color w:val="000000" w:themeColor="text1"/>
                <w:sz w:val="18"/>
                <w:szCs w:val="18"/>
              </w:rPr>
              <w:t>5</w:t>
            </w:r>
            <w:r w:rsidRPr="002945B9">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094547" w:rsidRPr="00F63B3F"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114FF1C8"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6.6</w:t>
            </w:r>
            <w:r w:rsidR="00255C5C">
              <w:rPr>
                <w:rFonts w:ascii="Arial" w:hAnsi="Arial" w:cs="Arial"/>
                <w:bCs/>
                <w:color w:val="000000"/>
                <w:sz w:val="18"/>
                <w:szCs w:val="18"/>
              </w:rPr>
              <w:t>5</w:t>
            </w:r>
          </w:p>
        </w:tc>
        <w:tc>
          <w:tcPr>
            <w:tcW w:w="1508" w:type="dxa"/>
            <w:shd w:val="clear" w:color="auto" w:fill="D9D9D9" w:themeFill="background1" w:themeFillShade="D9"/>
          </w:tcPr>
          <w:p w14:paraId="7F71E690" w14:textId="39C32AEC"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411CF7">
              <w:rPr>
                <w:rFonts w:ascii="Arial" w:hAnsi="Arial" w:cs="Arial"/>
                <w:bCs/>
                <w:color w:val="000000"/>
                <w:sz w:val="18"/>
                <w:szCs w:val="18"/>
              </w:rPr>
              <w:t>5.</w:t>
            </w:r>
            <w:r w:rsidR="00255C5C">
              <w:rPr>
                <w:rFonts w:ascii="Arial" w:hAnsi="Arial" w:cs="Arial"/>
                <w:bCs/>
                <w:color w:val="000000"/>
                <w:sz w:val="18"/>
                <w:szCs w:val="18"/>
              </w:rPr>
              <w:t>6</w:t>
            </w:r>
            <w:r w:rsidRPr="0045354B">
              <w:rPr>
                <w:rFonts w:ascii="Arial" w:hAnsi="Arial" w:cs="Arial"/>
                <w:bCs/>
                <w:color w:val="000000"/>
                <w:sz w:val="18"/>
                <w:szCs w:val="18"/>
              </w:rPr>
              <w:t>%</w:t>
            </w:r>
          </w:p>
        </w:tc>
      </w:tr>
      <w:tr w:rsidR="00094547" w:rsidRPr="00C267F7" w14:paraId="40BFAA9F" w14:textId="4FA72BB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1544BE2" w14:textId="304B9460"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1260" w:type="dxa"/>
          </w:tcPr>
          <w:p w14:paraId="39EFE3AF" w14:textId="3970C5E2"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3.</w:t>
            </w:r>
            <w:r w:rsidR="00255C5C">
              <w:rPr>
                <w:rFonts w:ascii="Arial" w:hAnsi="Arial" w:cs="Arial"/>
                <w:bCs/>
                <w:color w:val="000000"/>
                <w:sz w:val="18"/>
                <w:szCs w:val="18"/>
              </w:rPr>
              <w:t>0</w:t>
            </w:r>
            <w:r w:rsidR="00AE5A9A">
              <w:rPr>
                <w:rFonts w:ascii="Arial" w:hAnsi="Arial" w:cs="Arial"/>
                <w:bCs/>
                <w:color w:val="000000"/>
                <w:sz w:val="18"/>
                <w:szCs w:val="18"/>
              </w:rPr>
              <w:t>9</w:t>
            </w:r>
          </w:p>
        </w:tc>
        <w:tc>
          <w:tcPr>
            <w:tcW w:w="1277" w:type="dxa"/>
            <w:tcBorders>
              <w:right w:val="single" w:sz="4" w:space="0" w:color="31849B" w:themeColor="accent5" w:themeShade="BF"/>
            </w:tcBorders>
          </w:tcPr>
          <w:p w14:paraId="42FE8E76" w14:textId="3DA5D5E0"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945B9">
              <w:rPr>
                <w:rFonts w:ascii="Arial" w:hAnsi="Arial" w:cs="Arial"/>
                <w:color w:val="000000" w:themeColor="text1"/>
                <w:sz w:val="18"/>
                <w:szCs w:val="18"/>
              </w:rPr>
              <w:t>+</w:t>
            </w:r>
            <w:r w:rsidR="00255C5C">
              <w:rPr>
                <w:rFonts w:ascii="Arial" w:hAnsi="Arial" w:cs="Arial"/>
                <w:color w:val="000000" w:themeColor="text1"/>
                <w:sz w:val="18"/>
                <w:szCs w:val="18"/>
              </w:rPr>
              <w:t>1.</w:t>
            </w:r>
            <w:r w:rsidR="00AE5A9A">
              <w:rPr>
                <w:rFonts w:ascii="Arial" w:hAnsi="Arial" w:cs="Arial"/>
                <w:color w:val="000000" w:themeColor="text1"/>
                <w:sz w:val="18"/>
                <w:szCs w:val="18"/>
              </w:rPr>
              <w:t>8</w:t>
            </w:r>
            <w:r w:rsidRPr="002945B9">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B4583DE" w14:textId="0517DC14" w:rsidR="00094547" w:rsidRPr="00F63B3F"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chicken</w:t>
            </w:r>
          </w:p>
        </w:tc>
        <w:tc>
          <w:tcPr>
            <w:tcW w:w="1087" w:type="dxa"/>
          </w:tcPr>
          <w:p w14:paraId="14E0BACF" w14:textId="6951169C"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3.0</w:t>
            </w:r>
            <w:r w:rsidR="00255C5C">
              <w:rPr>
                <w:rFonts w:ascii="Arial" w:hAnsi="Arial" w:cs="Arial"/>
                <w:bCs/>
                <w:color w:val="000000"/>
                <w:sz w:val="18"/>
                <w:szCs w:val="18"/>
              </w:rPr>
              <w:t>7</w:t>
            </w:r>
          </w:p>
        </w:tc>
        <w:tc>
          <w:tcPr>
            <w:tcW w:w="1508" w:type="dxa"/>
          </w:tcPr>
          <w:p w14:paraId="0C6B64E7" w14:textId="05794214" w:rsidR="00094547" w:rsidRPr="00F63B3F" w:rsidRDefault="00255C5C"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+0.2</w:t>
            </w:r>
            <w:r w:rsidR="00094547" w:rsidRPr="0045354B">
              <w:rPr>
                <w:rFonts w:ascii="Arial" w:hAnsi="Arial" w:cs="Arial"/>
                <w:bCs/>
                <w:color w:val="000000"/>
                <w:sz w:val="18"/>
                <w:szCs w:val="18"/>
              </w:rPr>
              <w:t>%</w:t>
            </w:r>
          </w:p>
        </w:tc>
      </w:tr>
      <w:tr w:rsidR="00094547" w:rsidRPr="00C267F7" w14:paraId="03CE81FF" w14:textId="0F0AB34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4016351" w14:textId="1E2970DA"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1260" w:type="dxa"/>
            <w:shd w:val="clear" w:color="auto" w:fill="D9D9D9" w:themeFill="background1" w:themeFillShade="D9"/>
          </w:tcPr>
          <w:p w14:paraId="144BCDD4" w14:textId="1C1BB041"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3.1</w:t>
            </w:r>
            <w:r w:rsidR="00AE5A9A">
              <w:rPr>
                <w:rFonts w:ascii="Arial" w:hAnsi="Arial" w:cs="Arial"/>
                <w:bCs/>
                <w:color w:val="000000"/>
                <w:sz w:val="18"/>
                <w:szCs w:val="18"/>
              </w:rPr>
              <w:t>5</w:t>
            </w:r>
          </w:p>
        </w:tc>
        <w:tc>
          <w:tcPr>
            <w:tcW w:w="1277" w:type="dxa"/>
            <w:tcBorders>
              <w:right w:val="single" w:sz="4" w:space="0" w:color="31849B" w:themeColor="accent5" w:themeShade="BF"/>
            </w:tcBorders>
            <w:shd w:val="clear" w:color="auto" w:fill="D9D9D9" w:themeFill="background1" w:themeFillShade="D9"/>
          </w:tcPr>
          <w:p w14:paraId="3B2408B8" w14:textId="19500DE2" w:rsidR="00094547" w:rsidRPr="00F63B3F" w:rsidRDefault="00255C5C"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AE5A9A">
              <w:rPr>
                <w:rFonts w:ascii="Arial" w:hAnsi="Arial" w:cs="Arial"/>
                <w:color w:val="000000" w:themeColor="text1"/>
                <w:sz w:val="18"/>
                <w:szCs w:val="18"/>
              </w:rPr>
              <w:t>1.2</w:t>
            </w:r>
            <w:r w:rsidR="00094547" w:rsidRPr="002945B9">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094547" w:rsidRPr="00F63B3F"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32BA316A"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3.19</w:t>
            </w:r>
          </w:p>
        </w:tc>
        <w:tc>
          <w:tcPr>
            <w:tcW w:w="1508" w:type="dxa"/>
            <w:shd w:val="clear" w:color="auto" w:fill="D9D9D9" w:themeFill="background1" w:themeFillShade="D9"/>
          </w:tcPr>
          <w:p w14:paraId="62FE5415" w14:textId="65A22286"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255C5C">
              <w:rPr>
                <w:rFonts w:ascii="Arial" w:hAnsi="Arial" w:cs="Arial"/>
                <w:bCs/>
                <w:color w:val="000000"/>
                <w:sz w:val="18"/>
                <w:szCs w:val="18"/>
              </w:rPr>
              <w:t>2.7</w:t>
            </w:r>
            <w:r w:rsidRPr="0045354B">
              <w:rPr>
                <w:rFonts w:ascii="Arial" w:hAnsi="Arial" w:cs="Arial"/>
                <w:bCs/>
                <w:color w:val="000000"/>
                <w:sz w:val="18"/>
                <w:szCs w:val="18"/>
              </w:rPr>
              <w:t>%</w:t>
            </w:r>
          </w:p>
        </w:tc>
      </w:tr>
      <w:tr w:rsidR="00094547" w:rsidRPr="00C267F7" w14:paraId="229CC4A4" w14:textId="51EC9C6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45DD4E7" w14:textId="0D5E67B1"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1260" w:type="dxa"/>
          </w:tcPr>
          <w:p w14:paraId="3EBD5D69" w14:textId="53CB1602"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AE5A9A">
              <w:rPr>
                <w:rFonts w:ascii="Arial" w:hAnsi="Arial" w:cs="Arial"/>
                <w:bCs/>
                <w:color w:val="000000"/>
                <w:sz w:val="18"/>
                <w:szCs w:val="18"/>
              </w:rPr>
              <w:t>3.07</w:t>
            </w:r>
          </w:p>
        </w:tc>
        <w:tc>
          <w:tcPr>
            <w:tcW w:w="1277" w:type="dxa"/>
            <w:tcBorders>
              <w:right w:val="single" w:sz="4" w:space="0" w:color="31849B" w:themeColor="accent5" w:themeShade="BF"/>
            </w:tcBorders>
          </w:tcPr>
          <w:p w14:paraId="01B56788" w14:textId="6D71945D" w:rsidR="00094547" w:rsidRPr="00F63B3F" w:rsidRDefault="00255C5C"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0.</w:t>
            </w:r>
            <w:r w:rsidR="00AE5A9A">
              <w:rPr>
                <w:rFonts w:ascii="Arial" w:hAnsi="Arial" w:cs="Arial"/>
                <w:bCs/>
                <w:color w:val="000000"/>
                <w:sz w:val="18"/>
                <w:szCs w:val="18"/>
              </w:rPr>
              <w:t>0</w:t>
            </w:r>
            <w:r w:rsidR="00094547"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7D399932" w14:textId="735371A9" w:rsidR="00094547" w:rsidRPr="00F63B3F"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turkey</w:t>
            </w:r>
          </w:p>
        </w:tc>
        <w:tc>
          <w:tcPr>
            <w:tcW w:w="1087" w:type="dxa"/>
          </w:tcPr>
          <w:p w14:paraId="25B71BAF" w14:textId="795CA7C1"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2.68</w:t>
            </w:r>
          </w:p>
        </w:tc>
        <w:tc>
          <w:tcPr>
            <w:tcW w:w="1508" w:type="dxa"/>
          </w:tcPr>
          <w:p w14:paraId="7CADE09D" w14:textId="090B0144"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255C5C">
              <w:rPr>
                <w:rFonts w:ascii="Arial" w:hAnsi="Arial" w:cs="Arial"/>
                <w:bCs/>
                <w:color w:val="000000"/>
                <w:sz w:val="18"/>
                <w:szCs w:val="18"/>
              </w:rPr>
              <w:t>0.4</w:t>
            </w:r>
            <w:r w:rsidRPr="0045354B">
              <w:rPr>
                <w:rFonts w:ascii="Arial" w:hAnsi="Arial" w:cs="Arial"/>
                <w:bCs/>
                <w:color w:val="000000"/>
                <w:sz w:val="18"/>
                <w:szCs w:val="18"/>
              </w:rPr>
              <w:t>%</w:t>
            </w:r>
          </w:p>
        </w:tc>
      </w:tr>
      <w:tr w:rsidR="00094547" w:rsidRPr="00C267F7" w14:paraId="7C11163E" w14:textId="358ED149"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73309EDE" w14:textId="58968F19"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1260" w:type="dxa"/>
            <w:shd w:val="clear" w:color="auto" w:fill="D9D9D9" w:themeFill="background1" w:themeFillShade="D9"/>
          </w:tcPr>
          <w:p w14:paraId="2B4B9BF1" w14:textId="2329B93C"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8.0</w:t>
            </w:r>
            <w:r w:rsidR="00AE5A9A">
              <w:rPr>
                <w:rFonts w:ascii="Arial" w:hAnsi="Arial" w:cs="Arial"/>
                <w:bCs/>
                <w:color w:val="000000"/>
                <w:sz w:val="18"/>
                <w:szCs w:val="18"/>
              </w:rPr>
              <w:t>2</w:t>
            </w:r>
          </w:p>
        </w:tc>
        <w:tc>
          <w:tcPr>
            <w:tcW w:w="1277" w:type="dxa"/>
            <w:tcBorders>
              <w:right w:val="single" w:sz="4" w:space="0" w:color="31849B" w:themeColor="accent5" w:themeShade="BF"/>
            </w:tcBorders>
            <w:shd w:val="clear" w:color="auto" w:fill="D9D9D9" w:themeFill="background1" w:themeFillShade="D9"/>
          </w:tcPr>
          <w:p w14:paraId="0EAA389B" w14:textId="1D789BDE"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255C5C">
              <w:rPr>
                <w:rFonts w:ascii="Arial" w:hAnsi="Arial" w:cs="Arial"/>
                <w:bCs/>
                <w:color w:val="000000"/>
                <w:sz w:val="18"/>
                <w:szCs w:val="18"/>
              </w:rPr>
              <w:t>2.</w:t>
            </w:r>
            <w:r w:rsidR="00AE5A9A">
              <w:rPr>
                <w:rFonts w:ascii="Arial" w:hAnsi="Arial" w:cs="Arial"/>
                <w:bCs/>
                <w:color w:val="000000"/>
                <w:sz w:val="18"/>
                <w:szCs w:val="18"/>
              </w:rPr>
              <w:t>8</w:t>
            </w:r>
            <w:r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094547" w:rsidRPr="00F63B3F"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4E97EAA9"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8.0</w:t>
            </w:r>
            <w:r w:rsidR="00255C5C">
              <w:rPr>
                <w:rFonts w:ascii="Arial" w:hAnsi="Arial" w:cs="Arial"/>
                <w:bCs/>
                <w:color w:val="000000"/>
                <w:sz w:val="18"/>
                <w:szCs w:val="18"/>
              </w:rPr>
              <w:t>3</w:t>
            </w:r>
          </w:p>
        </w:tc>
        <w:tc>
          <w:tcPr>
            <w:tcW w:w="1508" w:type="dxa"/>
            <w:shd w:val="clear" w:color="auto" w:fill="D9D9D9" w:themeFill="background1" w:themeFillShade="D9"/>
          </w:tcPr>
          <w:p w14:paraId="101B702A" w14:textId="22F92219" w:rsidR="00094547" w:rsidRPr="00F63B3F" w:rsidRDefault="00411CF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255C5C">
              <w:rPr>
                <w:rFonts w:ascii="Arial" w:hAnsi="Arial" w:cs="Arial"/>
                <w:bCs/>
                <w:color w:val="000000"/>
                <w:sz w:val="18"/>
                <w:szCs w:val="18"/>
              </w:rPr>
              <w:t>8.8</w:t>
            </w:r>
            <w:r w:rsidR="00094547" w:rsidRPr="0045354B">
              <w:rPr>
                <w:rFonts w:ascii="Arial" w:hAnsi="Arial" w:cs="Arial"/>
                <w:bCs/>
                <w:color w:val="000000"/>
                <w:sz w:val="18"/>
                <w:szCs w:val="18"/>
              </w:rPr>
              <w:t>%</w:t>
            </w:r>
          </w:p>
        </w:tc>
      </w:tr>
      <w:tr w:rsidR="00094547" w:rsidRPr="00C267F7" w14:paraId="46FFF366" w14:textId="07AAC3C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68F3672" w14:textId="77777777"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1260" w:type="dxa"/>
          </w:tcPr>
          <w:p w14:paraId="2F2878E0" w14:textId="4340B6C4"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255C5C">
              <w:rPr>
                <w:rFonts w:ascii="Arial" w:hAnsi="Arial" w:cs="Arial"/>
                <w:bCs/>
                <w:color w:val="000000"/>
                <w:sz w:val="18"/>
                <w:szCs w:val="18"/>
              </w:rPr>
              <w:t>8.</w:t>
            </w:r>
            <w:r w:rsidR="00AE5A9A">
              <w:rPr>
                <w:rFonts w:ascii="Arial" w:hAnsi="Arial" w:cs="Arial"/>
                <w:bCs/>
                <w:color w:val="000000"/>
                <w:sz w:val="18"/>
                <w:szCs w:val="18"/>
              </w:rPr>
              <w:t>87</w:t>
            </w:r>
          </w:p>
        </w:tc>
        <w:tc>
          <w:tcPr>
            <w:tcW w:w="1277" w:type="dxa"/>
            <w:tcBorders>
              <w:right w:val="single" w:sz="4" w:space="0" w:color="31849B" w:themeColor="accent5" w:themeShade="BF"/>
            </w:tcBorders>
          </w:tcPr>
          <w:p w14:paraId="3EB1EB76" w14:textId="1A7E4463" w:rsidR="00094547" w:rsidRPr="00F63B3F" w:rsidRDefault="00255C5C"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AE5A9A">
              <w:rPr>
                <w:rFonts w:ascii="Arial" w:hAnsi="Arial" w:cs="Arial"/>
                <w:bCs/>
                <w:color w:val="000000"/>
                <w:sz w:val="18"/>
                <w:szCs w:val="18"/>
              </w:rPr>
              <w:t>6</w:t>
            </w:r>
            <w:r>
              <w:rPr>
                <w:rFonts w:ascii="Arial" w:hAnsi="Arial" w:cs="Arial"/>
                <w:bCs/>
                <w:color w:val="000000"/>
                <w:sz w:val="18"/>
                <w:szCs w:val="18"/>
              </w:rPr>
              <w:t>.8</w:t>
            </w:r>
            <w:r w:rsidR="00094547"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3D25EFA1" w14:textId="0D2872A0" w:rsidR="00094547" w:rsidRPr="00F63B3F"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exotic</w:t>
            </w:r>
          </w:p>
        </w:tc>
        <w:tc>
          <w:tcPr>
            <w:tcW w:w="1087" w:type="dxa"/>
          </w:tcPr>
          <w:p w14:paraId="7366C5C2" w14:textId="25721C75"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8.6</w:t>
            </w:r>
            <w:r w:rsidR="00255C5C">
              <w:rPr>
                <w:rFonts w:ascii="Arial" w:hAnsi="Arial" w:cs="Arial"/>
                <w:bCs/>
                <w:color w:val="000000"/>
                <w:sz w:val="18"/>
                <w:szCs w:val="18"/>
              </w:rPr>
              <w:t>9</w:t>
            </w:r>
          </w:p>
        </w:tc>
        <w:tc>
          <w:tcPr>
            <w:tcW w:w="1508" w:type="dxa"/>
          </w:tcPr>
          <w:p w14:paraId="48BD8E40" w14:textId="0343E09C"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255C5C">
              <w:rPr>
                <w:rFonts w:ascii="Arial" w:hAnsi="Arial" w:cs="Arial"/>
                <w:bCs/>
                <w:color w:val="000000"/>
                <w:sz w:val="18"/>
                <w:szCs w:val="18"/>
              </w:rPr>
              <w:t>3.5</w:t>
            </w:r>
            <w:r w:rsidRPr="0045354B">
              <w:rPr>
                <w:rFonts w:ascii="Arial" w:hAnsi="Arial" w:cs="Arial"/>
                <w:bCs/>
                <w:color w:val="000000"/>
                <w:sz w:val="18"/>
                <w:szCs w:val="18"/>
              </w:rPr>
              <w:t>%</w:t>
            </w:r>
          </w:p>
        </w:tc>
      </w:tr>
      <w:tr w:rsidR="00094547" w:rsidRPr="00C267F7" w14:paraId="61635BD3" w14:textId="2B0700F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4295FA0" w14:textId="77777777"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1260" w:type="dxa"/>
            <w:shd w:val="clear" w:color="auto" w:fill="D9D9D9" w:themeFill="background1" w:themeFillShade="D9"/>
          </w:tcPr>
          <w:p w14:paraId="22467995" w14:textId="163DC434"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6.</w:t>
            </w:r>
            <w:r w:rsidR="00255C5C">
              <w:rPr>
                <w:rFonts w:ascii="Arial" w:hAnsi="Arial" w:cs="Arial"/>
                <w:bCs/>
                <w:color w:val="000000"/>
                <w:sz w:val="18"/>
                <w:szCs w:val="18"/>
              </w:rPr>
              <w:t>18</w:t>
            </w:r>
          </w:p>
        </w:tc>
        <w:tc>
          <w:tcPr>
            <w:tcW w:w="1277" w:type="dxa"/>
            <w:tcBorders>
              <w:right w:val="single" w:sz="4" w:space="0" w:color="31849B" w:themeColor="accent5" w:themeShade="BF"/>
            </w:tcBorders>
            <w:shd w:val="clear" w:color="auto" w:fill="D9D9D9" w:themeFill="background1" w:themeFillShade="D9"/>
          </w:tcPr>
          <w:p w14:paraId="04B317A8" w14:textId="4FD99B09" w:rsidR="00094547" w:rsidRPr="00F63B3F" w:rsidRDefault="00411CF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255C5C">
              <w:rPr>
                <w:rFonts w:ascii="Arial" w:hAnsi="Arial" w:cs="Arial"/>
                <w:bCs/>
                <w:color w:val="000000"/>
                <w:sz w:val="18"/>
                <w:szCs w:val="18"/>
              </w:rPr>
              <w:t>5.</w:t>
            </w:r>
            <w:r w:rsidR="00AE5A9A">
              <w:rPr>
                <w:rFonts w:ascii="Arial" w:hAnsi="Arial" w:cs="Arial"/>
                <w:bCs/>
                <w:color w:val="000000"/>
                <w:sz w:val="18"/>
                <w:szCs w:val="18"/>
              </w:rPr>
              <w:t>7</w:t>
            </w:r>
            <w:r w:rsidR="00094547"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094547" w:rsidRPr="00F63B3F"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35F5CC0D"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6.1</w:t>
            </w:r>
            <w:r w:rsidR="00255C5C">
              <w:rPr>
                <w:rFonts w:ascii="Arial" w:hAnsi="Arial" w:cs="Arial"/>
                <w:bCs/>
                <w:color w:val="000000"/>
                <w:sz w:val="18"/>
                <w:szCs w:val="18"/>
              </w:rPr>
              <w:t>0</w:t>
            </w:r>
          </w:p>
        </w:tc>
        <w:tc>
          <w:tcPr>
            <w:tcW w:w="1508" w:type="dxa"/>
            <w:shd w:val="clear" w:color="auto" w:fill="D9D9D9" w:themeFill="background1" w:themeFillShade="D9"/>
          </w:tcPr>
          <w:p w14:paraId="085DA66D" w14:textId="408956A8"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255C5C">
              <w:rPr>
                <w:rFonts w:ascii="Arial" w:hAnsi="Arial" w:cs="Arial"/>
                <w:bCs/>
                <w:color w:val="000000"/>
                <w:sz w:val="18"/>
                <w:szCs w:val="18"/>
              </w:rPr>
              <w:t>2.0</w:t>
            </w:r>
            <w:r w:rsidRPr="0045354B">
              <w:rPr>
                <w:rFonts w:ascii="Arial" w:hAnsi="Arial" w:cs="Arial"/>
                <w:bCs/>
                <w:color w:val="000000"/>
                <w:sz w:val="18"/>
                <w:szCs w:val="18"/>
              </w:rPr>
              <w:t>%</w:t>
            </w:r>
          </w:p>
        </w:tc>
      </w:tr>
      <w:tr w:rsidR="00094547" w:rsidRPr="00C267F7" w14:paraId="225C0BFC" w14:textId="0BC65D39"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BC69A73" w14:textId="77777777"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1260" w:type="dxa"/>
          </w:tcPr>
          <w:p w14:paraId="4D1FFDBA" w14:textId="2146B91D"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255C5C">
              <w:rPr>
                <w:rFonts w:ascii="Arial" w:hAnsi="Arial" w:cs="Arial"/>
                <w:bCs/>
                <w:color w:val="000000"/>
                <w:sz w:val="18"/>
                <w:szCs w:val="18"/>
              </w:rPr>
              <w:t>6.02</w:t>
            </w:r>
          </w:p>
        </w:tc>
        <w:tc>
          <w:tcPr>
            <w:tcW w:w="1277" w:type="dxa"/>
            <w:tcBorders>
              <w:right w:val="single" w:sz="4" w:space="0" w:color="31849B" w:themeColor="accent5" w:themeShade="BF"/>
            </w:tcBorders>
          </w:tcPr>
          <w:p w14:paraId="5F559B24" w14:textId="0A4BAFE1" w:rsidR="00094547" w:rsidRPr="00F63B3F" w:rsidRDefault="00411CF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255C5C">
              <w:rPr>
                <w:rFonts w:ascii="Arial" w:hAnsi="Arial" w:cs="Arial"/>
                <w:bCs/>
                <w:color w:val="000000"/>
                <w:sz w:val="18"/>
                <w:szCs w:val="18"/>
              </w:rPr>
              <w:t>2.</w:t>
            </w:r>
            <w:r w:rsidR="00AE5A9A">
              <w:rPr>
                <w:rFonts w:ascii="Arial" w:hAnsi="Arial" w:cs="Arial"/>
                <w:bCs/>
                <w:color w:val="000000"/>
                <w:sz w:val="18"/>
                <w:szCs w:val="18"/>
              </w:rPr>
              <w:t>1</w:t>
            </w:r>
            <w:r w:rsidR="00094547"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53F2FAF8" w14:textId="2A046A1E" w:rsidR="00094547" w:rsidRPr="00F63B3F"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Packaged lunchmeat</w:t>
            </w:r>
          </w:p>
        </w:tc>
        <w:tc>
          <w:tcPr>
            <w:tcW w:w="1087" w:type="dxa"/>
          </w:tcPr>
          <w:p w14:paraId="2B92DCD4" w14:textId="0A8C91B2"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5.</w:t>
            </w:r>
            <w:r w:rsidR="00255C5C">
              <w:rPr>
                <w:rFonts w:ascii="Arial" w:hAnsi="Arial" w:cs="Arial"/>
                <w:bCs/>
                <w:color w:val="000000"/>
                <w:sz w:val="18"/>
                <w:szCs w:val="18"/>
              </w:rPr>
              <w:t>90</w:t>
            </w:r>
          </w:p>
        </w:tc>
        <w:tc>
          <w:tcPr>
            <w:tcW w:w="1508" w:type="dxa"/>
          </w:tcPr>
          <w:p w14:paraId="3C2E7799" w14:textId="67FBE668"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44EB7">
              <w:rPr>
                <w:rFonts w:ascii="Arial" w:hAnsi="Arial" w:cs="Arial"/>
                <w:bCs/>
                <w:color w:val="000000"/>
                <w:sz w:val="18"/>
                <w:szCs w:val="18"/>
              </w:rPr>
              <w:t>-</w:t>
            </w:r>
            <w:r w:rsidR="00255C5C">
              <w:rPr>
                <w:rFonts w:ascii="Arial" w:hAnsi="Arial" w:cs="Arial"/>
                <w:bCs/>
                <w:color w:val="000000"/>
                <w:sz w:val="18"/>
                <w:szCs w:val="18"/>
              </w:rPr>
              <w:t>1.9</w:t>
            </w:r>
            <w:r w:rsidRPr="00744EB7">
              <w:rPr>
                <w:rFonts w:ascii="Arial" w:hAnsi="Arial" w:cs="Arial"/>
                <w:bCs/>
                <w:color w:val="000000"/>
                <w:sz w:val="18"/>
                <w:szCs w:val="18"/>
              </w:rPr>
              <w:t>%</w:t>
            </w:r>
          </w:p>
        </w:tc>
      </w:tr>
      <w:tr w:rsidR="00094547" w:rsidRPr="00C267F7" w14:paraId="275A5FB4" w14:textId="5DAF0677"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40448AA1" w14:textId="77777777"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1260" w:type="dxa"/>
            <w:shd w:val="clear" w:color="auto" w:fill="D9D9D9" w:themeFill="background1" w:themeFillShade="D9"/>
          </w:tcPr>
          <w:p w14:paraId="2087124A" w14:textId="7B3C0367"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255C5C">
              <w:rPr>
                <w:rFonts w:ascii="Arial" w:hAnsi="Arial" w:cs="Arial"/>
                <w:bCs/>
                <w:color w:val="000000"/>
                <w:sz w:val="18"/>
                <w:szCs w:val="18"/>
              </w:rPr>
              <w:t>4.5</w:t>
            </w:r>
            <w:r w:rsidR="00AE5A9A">
              <w:rPr>
                <w:rFonts w:ascii="Arial" w:hAnsi="Arial" w:cs="Arial"/>
                <w:bCs/>
                <w:color w:val="000000"/>
                <w:sz w:val="18"/>
                <w:szCs w:val="18"/>
              </w:rPr>
              <w:t>1</w:t>
            </w:r>
          </w:p>
        </w:tc>
        <w:tc>
          <w:tcPr>
            <w:tcW w:w="1277" w:type="dxa"/>
            <w:tcBorders>
              <w:right w:val="single" w:sz="4" w:space="0" w:color="31849B" w:themeColor="accent5" w:themeShade="BF"/>
            </w:tcBorders>
            <w:shd w:val="clear" w:color="auto" w:fill="D9D9D9" w:themeFill="background1" w:themeFillShade="D9"/>
          </w:tcPr>
          <w:p w14:paraId="78D56584" w14:textId="0CB5BFB2" w:rsidR="00094547" w:rsidRPr="00F63B3F" w:rsidRDefault="00AE5A9A"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-0.3</w:t>
            </w:r>
            <w:r w:rsidR="00094547" w:rsidRPr="00936EB8">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094547" w:rsidRPr="00F63B3F"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0ACDB350"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4.46</w:t>
            </w:r>
          </w:p>
        </w:tc>
        <w:tc>
          <w:tcPr>
            <w:tcW w:w="1508" w:type="dxa"/>
            <w:shd w:val="clear" w:color="auto" w:fill="D9D9D9" w:themeFill="background1" w:themeFillShade="D9"/>
          </w:tcPr>
          <w:p w14:paraId="259992A9" w14:textId="00B5B8D1"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44EB7">
              <w:rPr>
                <w:rFonts w:ascii="Arial" w:hAnsi="Arial" w:cs="Arial"/>
                <w:bCs/>
                <w:color w:val="000000"/>
                <w:sz w:val="18"/>
                <w:szCs w:val="18"/>
              </w:rPr>
              <w:t>-</w:t>
            </w:r>
            <w:r w:rsidR="00411CF7">
              <w:rPr>
                <w:rFonts w:ascii="Arial" w:hAnsi="Arial" w:cs="Arial"/>
                <w:bCs/>
                <w:color w:val="000000"/>
                <w:sz w:val="18"/>
                <w:szCs w:val="18"/>
              </w:rPr>
              <w:t>0.6</w:t>
            </w:r>
            <w:r w:rsidRPr="00744EB7">
              <w:rPr>
                <w:rFonts w:ascii="Arial" w:hAnsi="Arial" w:cs="Arial"/>
                <w:bCs/>
                <w:color w:val="000000"/>
                <w:sz w:val="18"/>
                <w:szCs w:val="18"/>
              </w:rPr>
              <w:t>%</w:t>
            </w:r>
          </w:p>
        </w:tc>
      </w:tr>
      <w:tr w:rsidR="00094547" w:rsidRPr="00C267F7" w14:paraId="1800BB78" w14:textId="0F9C2ACC"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51164332" w14:textId="77777777" w:rsidR="00094547" w:rsidRPr="00F63B3F" w:rsidRDefault="00094547" w:rsidP="00094547">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1260" w:type="dxa"/>
          </w:tcPr>
          <w:p w14:paraId="5E1CC7F4" w14:textId="76CD3B99"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3.6</w:t>
            </w:r>
            <w:r w:rsidR="00AE5A9A">
              <w:rPr>
                <w:rFonts w:ascii="Arial" w:hAnsi="Arial" w:cs="Arial"/>
                <w:bCs/>
                <w:color w:val="000000"/>
                <w:sz w:val="18"/>
                <w:szCs w:val="18"/>
              </w:rPr>
              <w:t>4</w:t>
            </w:r>
          </w:p>
        </w:tc>
        <w:tc>
          <w:tcPr>
            <w:tcW w:w="1277" w:type="dxa"/>
            <w:tcBorders>
              <w:right w:val="single" w:sz="4" w:space="0" w:color="31849B" w:themeColor="accent5" w:themeShade="BF"/>
            </w:tcBorders>
          </w:tcPr>
          <w:p w14:paraId="112FBFF9" w14:textId="1A0D5FBE"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36EB8">
              <w:rPr>
                <w:rFonts w:ascii="Arial" w:hAnsi="Arial" w:cs="Arial"/>
                <w:color w:val="000000" w:themeColor="text1"/>
                <w:sz w:val="18"/>
                <w:szCs w:val="18"/>
              </w:rPr>
              <w:t>+</w:t>
            </w:r>
            <w:r w:rsidR="00411CF7">
              <w:rPr>
                <w:rFonts w:ascii="Arial" w:hAnsi="Arial" w:cs="Arial"/>
                <w:color w:val="000000" w:themeColor="text1"/>
                <w:sz w:val="18"/>
                <w:szCs w:val="18"/>
              </w:rPr>
              <w:t>4.</w:t>
            </w:r>
            <w:r w:rsidR="00AE5A9A">
              <w:rPr>
                <w:rFonts w:ascii="Arial" w:hAnsi="Arial" w:cs="Arial"/>
                <w:color w:val="000000" w:themeColor="text1"/>
                <w:sz w:val="18"/>
                <w:szCs w:val="18"/>
              </w:rPr>
              <w:t>4</w:t>
            </w:r>
            <w:r w:rsidRPr="00936EB8">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5229FEF" w14:textId="553484E3" w:rsidR="00094547" w:rsidRPr="00F63B3F"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Frankfurters</w:t>
            </w:r>
          </w:p>
        </w:tc>
        <w:tc>
          <w:tcPr>
            <w:tcW w:w="1087" w:type="dxa"/>
          </w:tcPr>
          <w:p w14:paraId="4C5E8D22" w14:textId="48CD3A6F"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3.</w:t>
            </w:r>
            <w:r w:rsidR="00255C5C">
              <w:rPr>
                <w:rFonts w:ascii="Arial" w:hAnsi="Arial" w:cs="Arial"/>
                <w:bCs/>
                <w:color w:val="000000"/>
                <w:sz w:val="18"/>
                <w:szCs w:val="18"/>
              </w:rPr>
              <w:t>61</w:t>
            </w:r>
          </w:p>
        </w:tc>
        <w:tc>
          <w:tcPr>
            <w:tcW w:w="1508" w:type="dxa"/>
          </w:tcPr>
          <w:p w14:paraId="62592E30" w14:textId="492E2708"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411CF7">
              <w:rPr>
                <w:rFonts w:ascii="Arial" w:hAnsi="Arial" w:cs="Arial"/>
                <w:bCs/>
                <w:color w:val="000000"/>
                <w:sz w:val="18"/>
                <w:szCs w:val="18"/>
              </w:rPr>
              <w:t>2.</w:t>
            </w:r>
            <w:r w:rsidR="00255C5C">
              <w:rPr>
                <w:rFonts w:ascii="Arial" w:hAnsi="Arial" w:cs="Arial"/>
                <w:bCs/>
                <w:color w:val="000000"/>
                <w:sz w:val="18"/>
                <w:szCs w:val="18"/>
              </w:rPr>
              <w:t>8</w:t>
            </w:r>
            <w:r w:rsidRPr="0045354B">
              <w:rPr>
                <w:rFonts w:ascii="Arial" w:hAnsi="Arial" w:cs="Arial"/>
                <w:bCs/>
                <w:color w:val="000000"/>
                <w:sz w:val="18"/>
                <w:szCs w:val="18"/>
              </w:rPr>
              <w:t>%</w:t>
            </w:r>
          </w:p>
        </w:tc>
      </w:tr>
      <w:tr w:rsidR="00094547" w:rsidRPr="00C267F7" w14:paraId="4C48DCB9" w14:textId="124DC34D"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F249CA5" w14:textId="77777777" w:rsidR="00094547" w:rsidRPr="00FA2467" w:rsidRDefault="00094547" w:rsidP="00094547">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1260" w:type="dxa"/>
            <w:shd w:val="clear" w:color="auto" w:fill="D9D9D9" w:themeFill="background1" w:themeFillShade="D9"/>
          </w:tcPr>
          <w:p w14:paraId="6A9A4CAA" w14:textId="6496A370" w:rsidR="00094547" w:rsidRPr="00FA246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4.</w:t>
            </w:r>
            <w:r w:rsidR="00AE5A9A">
              <w:rPr>
                <w:rFonts w:ascii="Arial" w:hAnsi="Arial" w:cs="Arial"/>
                <w:bCs/>
                <w:color w:val="000000"/>
                <w:sz w:val="18"/>
                <w:szCs w:val="18"/>
              </w:rPr>
              <w:t>77</w:t>
            </w:r>
          </w:p>
        </w:tc>
        <w:tc>
          <w:tcPr>
            <w:tcW w:w="1277" w:type="dxa"/>
            <w:tcBorders>
              <w:right w:val="single" w:sz="4" w:space="0" w:color="31849B" w:themeColor="accent5" w:themeShade="BF"/>
            </w:tcBorders>
            <w:shd w:val="clear" w:color="auto" w:fill="D9D9D9" w:themeFill="background1" w:themeFillShade="D9"/>
          </w:tcPr>
          <w:p w14:paraId="3C7C1729" w14:textId="216F01C4" w:rsidR="00094547" w:rsidRPr="00FA246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36EB8">
              <w:rPr>
                <w:rFonts w:ascii="Arial" w:hAnsi="Arial" w:cs="Arial"/>
                <w:color w:val="000000" w:themeColor="text1"/>
                <w:sz w:val="18"/>
                <w:szCs w:val="18"/>
              </w:rPr>
              <w:t>+</w:t>
            </w:r>
            <w:r w:rsidR="00AE5A9A">
              <w:rPr>
                <w:rFonts w:ascii="Arial" w:hAnsi="Arial" w:cs="Arial"/>
                <w:color w:val="000000" w:themeColor="text1"/>
                <w:sz w:val="18"/>
                <w:szCs w:val="18"/>
              </w:rPr>
              <w:t>1.6</w:t>
            </w:r>
            <w:r w:rsidRPr="00936EB8">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094547" w:rsidRPr="00FA2467"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7211D096" w:rsidR="00094547" w:rsidRPr="00F63B3F"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4.74</w:t>
            </w:r>
          </w:p>
        </w:tc>
        <w:tc>
          <w:tcPr>
            <w:tcW w:w="1508" w:type="dxa"/>
            <w:shd w:val="clear" w:color="auto" w:fill="D9D9D9" w:themeFill="background1" w:themeFillShade="D9"/>
          </w:tcPr>
          <w:p w14:paraId="6B42EF76" w14:textId="26AEA514" w:rsidR="00094547" w:rsidRPr="00F63B3F" w:rsidRDefault="00411CF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+0.</w:t>
            </w:r>
            <w:r w:rsidR="00255C5C">
              <w:rPr>
                <w:rFonts w:ascii="Arial" w:hAnsi="Arial" w:cs="Arial"/>
                <w:bCs/>
                <w:color w:val="000000"/>
                <w:sz w:val="18"/>
                <w:szCs w:val="18"/>
              </w:rPr>
              <w:t>5</w:t>
            </w:r>
            <w:r w:rsidR="00094547" w:rsidRPr="002E5B21">
              <w:rPr>
                <w:rFonts w:ascii="Arial" w:hAnsi="Arial" w:cs="Arial"/>
                <w:bCs/>
                <w:color w:val="000000"/>
                <w:sz w:val="18"/>
                <w:szCs w:val="18"/>
              </w:rPr>
              <w:t>%</w:t>
            </w:r>
          </w:p>
        </w:tc>
      </w:tr>
      <w:tr w:rsidR="00094547" w:rsidRPr="00C267F7" w14:paraId="4CA2A58E" w14:textId="01E961A1"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2488C4F" w14:textId="77777777" w:rsidR="00094547" w:rsidRPr="00FA2467" w:rsidRDefault="00094547" w:rsidP="00094547">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1260" w:type="dxa"/>
          </w:tcPr>
          <w:p w14:paraId="543B8A24" w14:textId="0189B99A" w:rsidR="00094547" w:rsidRPr="00FA2467"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255C5C">
              <w:rPr>
                <w:rFonts w:ascii="Arial" w:hAnsi="Arial" w:cs="Arial"/>
                <w:bCs/>
                <w:color w:val="000000"/>
                <w:sz w:val="18"/>
                <w:szCs w:val="18"/>
              </w:rPr>
              <w:t>3.70</w:t>
            </w:r>
          </w:p>
        </w:tc>
        <w:tc>
          <w:tcPr>
            <w:tcW w:w="1277" w:type="dxa"/>
            <w:tcBorders>
              <w:right w:val="single" w:sz="4" w:space="0" w:color="31849B" w:themeColor="accent5" w:themeShade="BF"/>
            </w:tcBorders>
          </w:tcPr>
          <w:p w14:paraId="0B2F5FF2" w14:textId="2CF16FA0" w:rsidR="00094547" w:rsidRPr="00FA2467" w:rsidRDefault="00255C5C"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AE5A9A">
              <w:rPr>
                <w:rFonts w:ascii="Arial" w:hAnsi="Arial" w:cs="Arial"/>
                <w:bCs/>
                <w:color w:val="000000"/>
                <w:sz w:val="18"/>
                <w:szCs w:val="18"/>
              </w:rPr>
              <w:t>2.0</w:t>
            </w:r>
            <w:r w:rsidR="00094547"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7153165B" w14:textId="1B8E604C" w:rsidR="00094547" w:rsidRPr="00FA2467"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Smoked ham</w:t>
            </w:r>
          </w:p>
        </w:tc>
        <w:tc>
          <w:tcPr>
            <w:tcW w:w="1087" w:type="dxa"/>
          </w:tcPr>
          <w:p w14:paraId="1B8D9C19" w14:textId="7A09D5EA"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90867">
              <w:rPr>
                <w:rFonts w:ascii="Arial" w:hAnsi="Arial" w:cs="Arial"/>
                <w:bCs/>
                <w:color w:val="000000"/>
                <w:sz w:val="18"/>
                <w:szCs w:val="18"/>
              </w:rPr>
              <w:t>$</w:t>
            </w:r>
            <w:r w:rsidR="00411CF7">
              <w:rPr>
                <w:rFonts w:ascii="Arial" w:hAnsi="Arial" w:cs="Arial"/>
                <w:bCs/>
                <w:color w:val="000000"/>
                <w:sz w:val="18"/>
                <w:szCs w:val="18"/>
              </w:rPr>
              <w:t>2.84</w:t>
            </w:r>
          </w:p>
        </w:tc>
        <w:tc>
          <w:tcPr>
            <w:tcW w:w="1508" w:type="dxa"/>
          </w:tcPr>
          <w:p w14:paraId="22AA1904" w14:textId="29565C19" w:rsidR="00094547" w:rsidRPr="00F63B3F"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E5B21">
              <w:rPr>
                <w:rFonts w:ascii="Arial" w:hAnsi="Arial" w:cs="Arial"/>
                <w:bCs/>
                <w:color w:val="000000"/>
                <w:sz w:val="18"/>
                <w:szCs w:val="18"/>
              </w:rPr>
              <w:t>-</w:t>
            </w:r>
            <w:r w:rsidR="00411CF7">
              <w:rPr>
                <w:rFonts w:ascii="Arial" w:hAnsi="Arial" w:cs="Arial"/>
                <w:bCs/>
                <w:color w:val="000000"/>
                <w:sz w:val="18"/>
                <w:szCs w:val="18"/>
              </w:rPr>
              <w:t>2.3</w:t>
            </w:r>
            <w:r w:rsidRPr="002E5B21">
              <w:rPr>
                <w:rFonts w:ascii="Arial" w:hAnsi="Arial" w:cs="Arial"/>
                <w:bCs/>
                <w:color w:val="000000"/>
                <w:sz w:val="18"/>
                <w:szCs w:val="18"/>
              </w:rPr>
              <w:t>%</w:t>
            </w:r>
          </w:p>
        </w:tc>
      </w:tr>
      <w:tr w:rsidR="00094547" w:rsidRPr="00C267F7" w14:paraId="20FBCD3E" w14:textId="728E6F30"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6B60BC2" w14:textId="77777777" w:rsidR="00094547" w:rsidRPr="00FA2467" w:rsidRDefault="00094547" w:rsidP="00094547">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1260" w:type="dxa"/>
            <w:shd w:val="clear" w:color="auto" w:fill="D9D9D9" w:themeFill="background1" w:themeFillShade="D9"/>
          </w:tcPr>
          <w:p w14:paraId="60EDDCC7" w14:textId="5DCC7B37" w:rsidR="00094547" w:rsidRPr="00FA246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4B61">
              <w:rPr>
                <w:rFonts w:ascii="Arial" w:hAnsi="Arial" w:cs="Arial"/>
                <w:bCs/>
                <w:color w:val="000000"/>
                <w:sz w:val="18"/>
                <w:szCs w:val="18"/>
              </w:rPr>
              <w:t>$</w:t>
            </w:r>
            <w:r w:rsidR="00B20540">
              <w:rPr>
                <w:rFonts w:ascii="Arial" w:hAnsi="Arial" w:cs="Arial"/>
                <w:bCs/>
                <w:color w:val="000000"/>
                <w:sz w:val="18"/>
                <w:szCs w:val="18"/>
              </w:rPr>
              <w:t>6.</w:t>
            </w:r>
            <w:r w:rsidR="00AE5A9A">
              <w:rPr>
                <w:rFonts w:ascii="Arial" w:hAnsi="Arial" w:cs="Arial"/>
                <w:bCs/>
                <w:color w:val="000000"/>
                <w:sz w:val="18"/>
                <w:szCs w:val="18"/>
              </w:rPr>
              <w:t>43</w:t>
            </w:r>
          </w:p>
        </w:tc>
        <w:tc>
          <w:tcPr>
            <w:tcW w:w="1277" w:type="dxa"/>
            <w:tcBorders>
              <w:right w:val="single" w:sz="4" w:space="0" w:color="31849B" w:themeColor="accent5" w:themeShade="BF"/>
            </w:tcBorders>
            <w:shd w:val="clear" w:color="auto" w:fill="D9D9D9" w:themeFill="background1" w:themeFillShade="D9"/>
          </w:tcPr>
          <w:p w14:paraId="203BAD30" w14:textId="706225BE" w:rsidR="00094547" w:rsidRPr="00FA246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AE5A9A">
              <w:rPr>
                <w:rFonts w:ascii="Arial" w:hAnsi="Arial" w:cs="Arial"/>
                <w:bCs/>
                <w:color w:val="000000"/>
                <w:sz w:val="18"/>
                <w:szCs w:val="18"/>
              </w:rPr>
              <w:t>2.2</w:t>
            </w:r>
            <w:r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094547" w:rsidRPr="00FA2467"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2F4D7548" w:rsidR="00094547" w:rsidRPr="00182993"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790867">
              <w:rPr>
                <w:rFonts w:ascii="Arial" w:hAnsi="Arial" w:cs="Arial"/>
                <w:bCs/>
                <w:color w:val="000000"/>
                <w:sz w:val="18"/>
                <w:szCs w:val="18"/>
              </w:rPr>
              <w:t>$</w:t>
            </w:r>
            <w:r w:rsidR="00411CF7">
              <w:rPr>
                <w:rFonts w:ascii="Arial" w:hAnsi="Arial" w:cs="Arial"/>
                <w:bCs/>
                <w:color w:val="000000"/>
                <w:sz w:val="18"/>
                <w:szCs w:val="18"/>
              </w:rPr>
              <w:t>6.6</w:t>
            </w:r>
            <w:r w:rsidR="00255C5C">
              <w:rPr>
                <w:rFonts w:ascii="Arial" w:hAnsi="Arial" w:cs="Arial"/>
                <w:bCs/>
                <w:color w:val="000000"/>
                <w:sz w:val="18"/>
                <w:szCs w:val="18"/>
              </w:rPr>
              <w:t>6</w:t>
            </w:r>
          </w:p>
        </w:tc>
        <w:tc>
          <w:tcPr>
            <w:tcW w:w="1508" w:type="dxa"/>
            <w:shd w:val="clear" w:color="auto" w:fill="D9D9D9" w:themeFill="background1" w:themeFillShade="D9"/>
          </w:tcPr>
          <w:p w14:paraId="76676902" w14:textId="0ED7BC78" w:rsidR="00094547" w:rsidRPr="00182993"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2E5B21">
              <w:rPr>
                <w:rFonts w:ascii="Arial" w:hAnsi="Arial" w:cs="Arial"/>
                <w:bCs/>
                <w:color w:val="000000"/>
                <w:sz w:val="18"/>
                <w:szCs w:val="18"/>
              </w:rPr>
              <w:t>-</w:t>
            </w:r>
            <w:r w:rsidR="00411CF7">
              <w:rPr>
                <w:rFonts w:ascii="Arial" w:hAnsi="Arial" w:cs="Arial"/>
                <w:bCs/>
                <w:color w:val="000000"/>
                <w:sz w:val="18"/>
                <w:szCs w:val="18"/>
              </w:rPr>
              <w:t>3.4</w:t>
            </w:r>
            <w:r w:rsidRPr="002E5B21">
              <w:rPr>
                <w:rFonts w:ascii="Arial" w:hAnsi="Arial" w:cs="Arial"/>
                <w:bCs/>
                <w:color w:val="000000"/>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21A7BEEA" w:rsidR="00BB6906" w:rsidRDefault="00BB6906" w:rsidP="00BB6906">
      <w:pPr>
        <w:pStyle w:val="NoSpacing"/>
        <w:rPr>
          <w:rFonts w:ascii="Arial" w:hAnsi="Arial" w:cs="Arial"/>
          <w:sz w:val="16"/>
          <w:szCs w:val="16"/>
        </w:rPr>
      </w:pPr>
      <w:r>
        <w:rPr>
          <w:rFonts w:ascii="Arial" w:hAnsi="Arial" w:cs="Arial"/>
          <w:sz w:val="16"/>
          <w:szCs w:val="16"/>
        </w:rPr>
        <w:t xml:space="preserve">Source: </w:t>
      </w:r>
      <w:r w:rsidR="00FB48FE">
        <w:rPr>
          <w:rFonts w:ascii="Arial" w:hAnsi="Arial" w:cs="Arial"/>
          <w:sz w:val="16"/>
          <w:szCs w:val="16"/>
        </w:rPr>
        <w:t>Circana</w:t>
      </w:r>
      <w:r>
        <w:rPr>
          <w:rFonts w:ascii="Arial" w:hAnsi="Arial" w:cs="Arial"/>
          <w:sz w:val="16"/>
          <w:szCs w:val="16"/>
        </w:rPr>
        <w:t xml:space="preserve">, Integrated Fresh, Total US, </w:t>
      </w:r>
      <w:r w:rsidR="00D85BA4">
        <w:rPr>
          <w:rFonts w:ascii="Arial" w:hAnsi="Arial" w:cs="Arial"/>
          <w:sz w:val="16"/>
          <w:szCs w:val="16"/>
        </w:rPr>
        <w:t>MULO+</w:t>
      </w:r>
    </w:p>
    <w:p w14:paraId="491E777B" w14:textId="77777777" w:rsidR="00FB3E79" w:rsidRDefault="00FB3E79" w:rsidP="00BB6906">
      <w:pPr>
        <w:pStyle w:val="NoSpacing"/>
        <w:rPr>
          <w:rFonts w:ascii="Arial" w:hAnsi="Arial" w:cs="Arial"/>
          <w:sz w:val="16"/>
          <w:szCs w:val="16"/>
        </w:rPr>
      </w:pPr>
    </w:p>
    <w:bookmarkEnd w:id="7"/>
    <w:p w14:paraId="78B16F0A" w14:textId="1C5E7E15" w:rsidR="002E4195" w:rsidRDefault="002E4195" w:rsidP="002D6E07">
      <w:pPr>
        <w:spacing w:after="0" w:line="240" w:lineRule="auto"/>
        <w:rPr>
          <w:rFonts w:ascii="Arial" w:hAnsi="Arial" w:cs="Arial"/>
          <w:b/>
          <w:bCs/>
          <w:color w:val="595959" w:themeColor="text1" w:themeTint="A6"/>
          <w:sz w:val="24"/>
          <w:szCs w:val="24"/>
        </w:rPr>
      </w:pPr>
    </w:p>
    <w:p w14:paraId="49FDD588" w14:textId="22B1DBB3"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p>
    <w:p w14:paraId="2C6E34BC" w14:textId="52ED8C11" w:rsidR="00787AFC" w:rsidRDefault="00953823" w:rsidP="002D6E07">
      <w:pPr>
        <w:spacing w:after="0" w:line="240" w:lineRule="auto"/>
        <w:rPr>
          <w:rFonts w:ascii="Arial" w:hAnsi="Arial" w:cs="Arial"/>
          <w:sz w:val="20"/>
          <w:szCs w:val="20"/>
        </w:rPr>
      </w:pPr>
      <w:r>
        <w:rPr>
          <w:rFonts w:ascii="Arial" w:hAnsi="Arial" w:cs="Arial"/>
          <w:sz w:val="20"/>
          <w:szCs w:val="20"/>
        </w:rPr>
        <w:t>Meat department sales were on a roll in October</w:t>
      </w:r>
      <w:r w:rsidR="00E068DB">
        <w:rPr>
          <w:rFonts w:ascii="Arial" w:hAnsi="Arial" w:cs="Arial"/>
          <w:sz w:val="20"/>
          <w:szCs w:val="20"/>
        </w:rPr>
        <w:t xml:space="preserve">, </w:t>
      </w:r>
      <w:r>
        <w:rPr>
          <w:rFonts w:ascii="Arial" w:hAnsi="Arial" w:cs="Arial"/>
          <w:sz w:val="20"/>
          <w:szCs w:val="20"/>
        </w:rPr>
        <w:t xml:space="preserve">with fresh meat sales driving </w:t>
      </w:r>
      <w:r w:rsidR="00AE5A9A">
        <w:rPr>
          <w:rFonts w:ascii="Arial" w:hAnsi="Arial" w:cs="Arial"/>
          <w:sz w:val="20"/>
          <w:szCs w:val="20"/>
        </w:rPr>
        <w:t>8.0</w:t>
      </w:r>
      <w:r>
        <w:rPr>
          <w:rFonts w:ascii="Arial" w:hAnsi="Arial" w:cs="Arial"/>
          <w:sz w:val="20"/>
          <w:szCs w:val="20"/>
        </w:rPr>
        <w:t xml:space="preserve">% gains to lead the department to an overall </w:t>
      </w:r>
      <w:r w:rsidR="00AE5A9A">
        <w:rPr>
          <w:rFonts w:ascii="Arial" w:hAnsi="Arial" w:cs="Arial"/>
          <w:sz w:val="20"/>
          <w:szCs w:val="20"/>
        </w:rPr>
        <w:t>5.4</w:t>
      </w:r>
      <w:r>
        <w:rPr>
          <w:rFonts w:ascii="Arial" w:hAnsi="Arial" w:cs="Arial"/>
          <w:sz w:val="20"/>
          <w:szCs w:val="20"/>
        </w:rPr>
        <w:t>% increase over October 2023.</w:t>
      </w:r>
      <w:r w:rsidR="00E068DB">
        <w:rPr>
          <w:rFonts w:ascii="Arial" w:hAnsi="Arial" w:cs="Arial"/>
          <w:sz w:val="20"/>
          <w:szCs w:val="20"/>
        </w:rPr>
        <w:t xml:space="preserve"> The </w:t>
      </w:r>
      <w:r w:rsidR="00094547">
        <w:rPr>
          <w:rFonts w:ascii="Arial" w:hAnsi="Arial" w:cs="Arial"/>
          <w:sz w:val="20"/>
          <w:szCs w:val="20"/>
        </w:rPr>
        <w:t>f</w:t>
      </w:r>
      <w:r w:rsidR="00AE5A9A">
        <w:rPr>
          <w:rFonts w:ascii="Arial" w:hAnsi="Arial" w:cs="Arial"/>
          <w:sz w:val="20"/>
          <w:szCs w:val="20"/>
        </w:rPr>
        <w:t>ive</w:t>
      </w:r>
      <w:r w:rsidR="00E068DB">
        <w:rPr>
          <w:rFonts w:ascii="Arial" w:hAnsi="Arial" w:cs="Arial"/>
          <w:sz w:val="20"/>
          <w:szCs w:val="20"/>
        </w:rPr>
        <w:t xml:space="preserve"> </w:t>
      </w:r>
      <w:r>
        <w:rPr>
          <w:rFonts w:ascii="Arial" w:hAnsi="Arial" w:cs="Arial"/>
          <w:sz w:val="20"/>
          <w:szCs w:val="20"/>
        </w:rPr>
        <w:t xml:space="preserve">October </w:t>
      </w:r>
      <w:r w:rsidR="00E068DB">
        <w:rPr>
          <w:rFonts w:ascii="Arial" w:hAnsi="Arial" w:cs="Arial"/>
          <w:sz w:val="20"/>
          <w:szCs w:val="20"/>
        </w:rPr>
        <w:t>weeks generate</w:t>
      </w:r>
      <w:r w:rsidR="00A54264">
        <w:rPr>
          <w:rFonts w:ascii="Arial" w:hAnsi="Arial" w:cs="Arial"/>
          <w:sz w:val="20"/>
          <w:szCs w:val="20"/>
        </w:rPr>
        <w:t>d $</w:t>
      </w:r>
      <w:r w:rsidR="00AE5A9A">
        <w:rPr>
          <w:rFonts w:ascii="Arial" w:hAnsi="Arial" w:cs="Arial"/>
          <w:sz w:val="20"/>
          <w:szCs w:val="20"/>
        </w:rPr>
        <w:t>10.0</w:t>
      </w:r>
      <w:r w:rsidR="00A54264">
        <w:rPr>
          <w:rFonts w:ascii="Arial" w:hAnsi="Arial" w:cs="Arial"/>
          <w:sz w:val="20"/>
          <w:szCs w:val="20"/>
        </w:rPr>
        <w:t xml:space="preserve"> billion, </w:t>
      </w:r>
      <w:r>
        <w:rPr>
          <w:rFonts w:ascii="Arial" w:hAnsi="Arial" w:cs="Arial"/>
          <w:sz w:val="20"/>
          <w:szCs w:val="20"/>
        </w:rPr>
        <w:t>with $</w:t>
      </w:r>
      <w:r w:rsidR="00AE5A9A">
        <w:rPr>
          <w:rFonts w:ascii="Arial" w:hAnsi="Arial" w:cs="Arial"/>
          <w:sz w:val="20"/>
          <w:szCs w:val="20"/>
        </w:rPr>
        <w:t>7.1</w:t>
      </w:r>
      <w:r>
        <w:rPr>
          <w:rFonts w:ascii="Arial" w:hAnsi="Arial" w:cs="Arial"/>
          <w:sz w:val="20"/>
          <w:szCs w:val="20"/>
        </w:rPr>
        <w:t xml:space="preserve"> billion for fresh meat. While inflation played a role, pound sales increased by </w:t>
      </w:r>
      <w:r w:rsidR="00AE5A9A">
        <w:rPr>
          <w:rFonts w:ascii="Arial" w:hAnsi="Arial" w:cs="Arial"/>
          <w:sz w:val="20"/>
          <w:szCs w:val="20"/>
        </w:rPr>
        <w:t>3.4</w:t>
      </w:r>
      <w:r>
        <w:rPr>
          <w:rFonts w:ascii="Arial" w:hAnsi="Arial" w:cs="Arial"/>
          <w:sz w:val="20"/>
          <w:szCs w:val="20"/>
        </w:rPr>
        <w:t>%, also driven by strong gains in fresh meat</w:t>
      </w:r>
      <w:r w:rsidR="00E068DB">
        <w:rPr>
          <w:rFonts w:ascii="Arial" w:hAnsi="Arial" w:cs="Arial"/>
          <w:sz w:val="20"/>
          <w:szCs w:val="20"/>
        </w:rPr>
        <w:t xml:space="preserve">. </w:t>
      </w:r>
    </w:p>
    <w:p w14:paraId="56B1C16D" w14:textId="4C229636" w:rsidR="00335BD6" w:rsidRDefault="00335BD6" w:rsidP="002D6E07">
      <w:pPr>
        <w:spacing w:after="0" w:line="240" w:lineRule="auto"/>
        <w:rPr>
          <w:rFonts w:ascii="Arial" w:hAnsi="Arial" w:cs="Arial"/>
          <w:sz w:val="20"/>
          <w:szCs w:val="20"/>
        </w:rPr>
      </w:pPr>
    </w:p>
    <w:p w14:paraId="699CB109" w14:textId="3440969A" w:rsidR="00480012" w:rsidRDefault="006D1212" w:rsidP="002D6E07">
      <w:pPr>
        <w:spacing w:after="0" w:line="240" w:lineRule="auto"/>
        <w:rPr>
          <w:rFonts w:ascii="Arial" w:hAnsi="Arial" w:cs="Arial"/>
          <w:sz w:val="20"/>
          <w:szCs w:val="20"/>
        </w:rPr>
      </w:pPr>
      <w:r>
        <w:rPr>
          <w:rFonts w:ascii="Arial" w:hAnsi="Arial" w:cs="Arial"/>
          <w:sz w:val="20"/>
          <w:szCs w:val="20"/>
        </w:rPr>
        <w:t>In the 52</w:t>
      </w:r>
      <w:r w:rsidR="00A54264">
        <w:rPr>
          <w:rFonts w:ascii="Arial" w:hAnsi="Arial" w:cs="Arial"/>
          <w:sz w:val="20"/>
          <w:szCs w:val="20"/>
        </w:rPr>
        <w:t>-week view, dollars trend</w:t>
      </w:r>
      <w:r w:rsidR="00953823">
        <w:rPr>
          <w:rFonts w:ascii="Arial" w:hAnsi="Arial" w:cs="Arial"/>
          <w:sz w:val="20"/>
          <w:szCs w:val="20"/>
        </w:rPr>
        <w:t>ed</w:t>
      </w:r>
      <w:r w:rsidR="00A54264">
        <w:rPr>
          <w:rFonts w:ascii="Arial" w:hAnsi="Arial" w:cs="Arial"/>
          <w:sz w:val="20"/>
          <w:szCs w:val="20"/>
        </w:rPr>
        <w:t xml:space="preserve"> </w:t>
      </w:r>
      <w:r w:rsidR="00FE7C73">
        <w:rPr>
          <w:rFonts w:ascii="Arial" w:hAnsi="Arial" w:cs="Arial"/>
          <w:sz w:val="20"/>
          <w:szCs w:val="20"/>
        </w:rPr>
        <w:t>4.3</w:t>
      </w:r>
      <w:r>
        <w:rPr>
          <w:rFonts w:ascii="Arial" w:hAnsi="Arial" w:cs="Arial"/>
          <w:sz w:val="20"/>
          <w:szCs w:val="20"/>
        </w:rPr>
        <w:t>% ahead of last year. This increase reflects a combination of mild pri</w:t>
      </w:r>
      <w:r w:rsidR="00953823">
        <w:rPr>
          <w:rFonts w:ascii="Arial" w:hAnsi="Arial" w:cs="Arial"/>
          <w:sz w:val="20"/>
          <w:szCs w:val="20"/>
        </w:rPr>
        <w:t xml:space="preserve">ce </w:t>
      </w:r>
      <w:r>
        <w:rPr>
          <w:rFonts w:ascii="Arial" w:hAnsi="Arial" w:cs="Arial"/>
          <w:sz w:val="20"/>
          <w:szCs w:val="20"/>
        </w:rPr>
        <w:t>increases and</w:t>
      </w:r>
      <w:r w:rsidR="00094547">
        <w:rPr>
          <w:rFonts w:ascii="Arial" w:hAnsi="Arial" w:cs="Arial"/>
          <w:sz w:val="20"/>
          <w:szCs w:val="20"/>
        </w:rPr>
        <w:t xml:space="preserve"> pound gains of </w:t>
      </w:r>
      <w:r w:rsidR="00953823">
        <w:rPr>
          <w:rFonts w:ascii="Arial" w:hAnsi="Arial" w:cs="Arial"/>
          <w:sz w:val="20"/>
          <w:szCs w:val="20"/>
        </w:rPr>
        <w:t>2.0</w:t>
      </w:r>
      <w:r w:rsidR="00E96E7F">
        <w:rPr>
          <w:rFonts w:ascii="Arial" w:hAnsi="Arial" w:cs="Arial"/>
          <w:sz w:val="20"/>
          <w:szCs w:val="20"/>
        </w:rPr>
        <w:t xml:space="preserve">%. </w:t>
      </w:r>
      <w:r w:rsidR="00953823">
        <w:rPr>
          <w:rFonts w:ascii="Arial" w:hAnsi="Arial" w:cs="Arial"/>
          <w:sz w:val="20"/>
          <w:szCs w:val="20"/>
        </w:rPr>
        <w:t xml:space="preserve">Importantly, pound sales are also easily ahead of two years ago, at +1.7%. </w:t>
      </w:r>
      <w:r>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03FC2F80" w:rsidR="00EE5904" w:rsidRPr="00BC7615" w:rsidRDefault="00297E8F"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 xml:space="preserve">October </w:t>
            </w:r>
            <w:r w:rsidR="001F639F">
              <w:rPr>
                <w:rFonts w:ascii="Arial" w:eastAsia="Times New Roman" w:hAnsi="Arial" w:cs="Arial"/>
                <w:bCs w:val="0"/>
                <w:color w:val="FFFFFF" w:themeColor="background1"/>
                <w:sz w:val="18"/>
                <w:szCs w:val="20"/>
              </w:rPr>
              <w:t>2024</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0B1DF1" w14:paraId="08CDE343"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0B1DF1" w:rsidRPr="006D1212" w:rsidRDefault="000B1DF1" w:rsidP="000B1DF1">
            <w:pPr>
              <w:rPr>
                <w:rFonts w:ascii="Arial" w:eastAsia="Times New Roman" w:hAnsi="Arial" w:cs="Arial"/>
                <w:bCs w:val="0"/>
                <w:color w:val="000000" w:themeColor="text1"/>
                <w:sz w:val="18"/>
                <w:szCs w:val="18"/>
              </w:rPr>
            </w:pPr>
            <w:r w:rsidRPr="006D1212">
              <w:rPr>
                <w:rFonts w:ascii="Arial" w:hAnsi="Arial" w:cs="Arial"/>
                <w:bCs w:val="0"/>
                <w:color w:val="000000" w:themeColor="text1"/>
                <w:sz w:val="18"/>
                <w:szCs w:val="20"/>
              </w:rPr>
              <w:t>Total meat department</w:t>
            </w:r>
          </w:p>
        </w:tc>
        <w:tc>
          <w:tcPr>
            <w:tcW w:w="882" w:type="dxa"/>
          </w:tcPr>
          <w:p w14:paraId="1D1AC1F9" w14:textId="654AAFEF" w:rsidR="000B1DF1" w:rsidRPr="006D1212" w:rsidRDefault="000B1DF1" w:rsidP="00FA246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eastAsia="Times New Roman" w:hAnsi="Arial" w:cs="Arial"/>
                <w:b/>
                <w:color w:val="000000" w:themeColor="text1"/>
                <w:sz w:val="18"/>
                <w:szCs w:val="18"/>
              </w:rPr>
              <w:t>$</w:t>
            </w:r>
            <w:r w:rsidR="00AE5A9A">
              <w:rPr>
                <w:rFonts w:ascii="Arial" w:eastAsia="Times New Roman" w:hAnsi="Arial" w:cs="Arial"/>
                <w:b/>
                <w:color w:val="000000" w:themeColor="text1"/>
                <w:sz w:val="18"/>
                <w:szCs w:val="18"/>
              </w:rPr>
              <w:t>10.0</w:t>
            </w:r>
            <w:r w:rsidRPr="006D1212">
              <w:rPr>
                <w:rFonts w:ascii="Arial" w:eastAsia="Times New Roman" w:hAnsi="Arial" w:cs="Arial"/>
                <w:b/>
                <w:color w:val="000000" w:themeColor="text1"/>
                <w:sz w:val="18"/>
                <w:szCs w:val="18"/>
              </w:rPr>
              <w:t>B</w:t>
            </w:r>
          </w:p>
        </w:tc>
        <w:tc>
          <w:tcPr>
            <w:tcW w:w="853" w:type="dxa"/>
          </w:tcPr>
          <w:p w14:paraId="26903F21" w14:textId="6A960174" w:rsidR="000B1DF1" w:rsidRPr="006D121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sidRPr="006D1212">
              <w:rPr>
                <w:rFonts w:ascii="Arial" w:hAnsi="Arial" w:cs="Arial"/>
                <w:b/>
                <w:color w:val="000000" w:themeColor="text1"/>
                <w:sz w:val="18"/>
                <w:szCs w:val="18"/>
              </w:rPr>
              <w:t>+</w:t>
            </w:r>
            <w:r w:rsidR="00AE5A9A">
              <w:rPr>
                <w:rFonts w:ascii="Arial" w:hAnsi="Arial" w:cs="Arial"/>
                <w:b/>
                <w:color w:val="000000" w:themeColor="text1"/>
                <w:sz w:val="18"/>
                <w:szCs w:val="18"/>
              </w:rPr>
              <w:t>5.4</w:t>
            </w:r>
            <w:r w:rsidRPr="006D1212">
              <w:rPr>
                <w:rFonts w:ascii="Arial" w:hAnsi="Arial" w:cs="Arial"/>
                <w:b/>
                <w:color w:val="000000" w:themeColor="text1"/>
                <w:sz w:val="18"/>
                <w:szCs w:val="18"/>
              </w:rPr>
              <w:t>%</w:t>
            </w:r>
          </w:p>
        </w:tc>
        <w:tc>
          <w:tcPr>
            <w:tcW w:w="913" w:type="dxa"/>
          </w:tcPr>
          <w:p w14:paraId="06D2AE62" w14:textId="77287E71" w:rsidR="000B1DF1" w:rsidRPr="006D121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AE5A9A">
              <w:rPr>
                <w:rFonts w:ascii="Arial" w:hAnsi="Arial" w:cs="Arial"/>
                <w:b/>
                <w:color w:val="000000" w:themeColor="text1"/>
                <w:sz w:val="18"/>
                <w:szCs w:val="18"/>
              </w:rPr>
              <w:t>5.6</w:t>
            </w:r>
            <w:r w:rsidRPr="006D1212">
              <w:rPr>
                <w:rFonts w:ascii="Arial" w:hAnsi="Arial" w:cs="Arial"/>
                <w:b/>
                <w:color w:val="000000" w:themeColor="text1"/>
                <w:sz w:val="18"/>
                <w:szCs w:val="18"/>
              </w:rPr>
              <w:t>%</w:t>
            </w:r>
          </w:p>
        </w:tc>
        <w:tc>
          <w:tcPr>
            <w:tcW w:w="883" w:type="dxa"/>
          </w:tcPr>
          <w:p w14:paraId="5B788D76" w14:textId="67F23351" w:rsidR="000B1DF1" w:rsidRPr="006D1212" w:rsidRDefault="00A54264"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w:t>
            </w:r>
            <w:r w:rsidR="00AE5A9A">
              <w:rPr>
                <w:rFonts w:ascii="Arial" w:hAnsi="Arial" w:cs="Arial"/>
                <w:b/>
                <w:color w:val="000000" w:themeColor="text1"/>
                <w:sz w:val="18"/>
                <w:szCs w:val="18"/>
              </w:rPr>
              <w:t>3.4</w:t>
            </w:r>
            <w:r w:rsidR="000B1DF1" w:rsidRPr="006D1212">
              <w:rPr>
                <w:rFonts w:ascii="Arial" w:hAnsi="Arial" w:cs="Arial"/>
                <w:b/>
                <w:color w:val="000000" w:themeColor="text1"/>
                <w:sz w:val="18"/>
                <w:szCs w:val="18"/>
              </w:rPr>
              <w:t>%</w:t>
            </w:r>
          </w:p>
        </w:tc>
        <w:tc>
          <w:tcPr>
            <w:tcW w:w="882" w:type="dxa"/>
            <w:tcBorders>
              <w:right w:val="single" w:sz="4" w:space="0" w:color="1F497D" w:themeColor="text2"/>
            </w:tcBorders>
          </w:tcPr>
          <w:p w14:paraId="3AD7D9FC" w14:textId="4B5353FF" w:rsidR="000B1DF1" w:rsidRPr="006D1212" w:rsidRDefault="00AE5A9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+0.9</w:t>
            </w:r>
            <w:r w:rsidR="000B1DF1" w:rsidRPr="006D1212">
              <w:rPr>
                <w:rFonts w:ascii="Arial" w:hAnsi="Arial" w:cs="Arial"/>
                <w:b/>
                <w:color w:val="000000" w:themeColor="text1"/>
                <w:sz w:val="18"/>
                <w:szCs w:val="18"/>
              </w:rPr>
              <w:t>%</w:t>
            </w:r>
          </w:p>
        </w:tc>
        <w:tc>
          <w:tcPr>
            <w:tcW w:w="832" w:type="dxa"/>
            <w:tcBorders>
              <w:left w:val="single" w:sz="4" w:space="0" w:color="1F497D" w:themeColor="text2"/>
            </w:tcBorders>
          </w:tcPr>
          <w:p w14:paraId="05D26487" w14:textId="7B7856D1" w:rsidR="000B1DF1" w:rsidRPr="006D1212" w:rsidRDefault="000D6C1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953823">
              <w:rPr>
                <w:rFonts w:ascii="Arial" w:hAnsi="Arial" w:cs="Arial"/>
                <w:b/>
                <w:color w:val="000000" w:themeColor="text1"/>
                <w:sz w:val="18"/>
                <w:szCs w:val="18"/>
              </w:rPr>
              <w:t>4.3</w:t>
            </w:r>
            <w:r w:rsidR="000B1DF1" w:rsidRPr="006D1212">
              <w:rPr>
                <w:rFonts w:ascii="Arial" w:hAnsi="Arial" w:cs="Arial"/>
                <w:b/>
                <w:color w:val="000000" w:themeColor="text1"/>
                <w:sz w:val="18"/>
                <w:szCs w:val="18"/>
              </w:rPr>
              <w:t>%</w:t>
            </w:r>
          </w:p>
        </w:tc>
        <w:tc>
          <w:tcPr>
            <w:tcW w:w="934" w:type="dxa"/>
          </w:tcPr>
          <w:p w14:paraId="7367498F" w14:textId="0E55DBE1" w:rsidR="000B1DF1" w:rsidRPr="006D1212" w:rsidRDefault="000B1DF1"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953823">
              <w:rPr>
                <w:rFonts w:ascii="Arial" w:hAnsi="Arial" w:cs="Arial"/>
                <w:b/>
                <w:color w:val="000000" w:themeColor="text1"/>
                <w:sz w:val="18"/>
                <w:szCs w:val="18"/>
              </w:rPr>
              <w:t>5.1</w:t>
            </w:r>
            <w:r w:rsidRPr="006D1212">
              <w:rPr>
                <w:rFonts w:ascii="Arial" w:hAnsi="Arial" w:cs="Arial"/>
                <w:b/>
                <w:color w:val="000000" w:themeColor="text1"/>
                <w:sz w:val="18"/>
                <w:szCs w:val="18"/>
              </w:rPr>
              <w:t>%</w:t>
            </w:r>
          </w:p>
        </w:tc>
        <w:tc>
          <w:tcPr>
            <w:tcW w:w="883" w:type="dxa"/>
          </w:tcPr>
          <w:p w14:paraId="5C7DEDD5" w14:textId="094E79D2" w:rsidR="000B1DF1" w:rsidRPr="006D1212" w:rsidRDefault="00305A8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sidRPr="006D1212">
              <w:rPr>
                <w:rFonts w:ascii="Arial" w:hAnsi="Arial" w:cs="Arial"/>
                <w:b/>
                <w:color w:val="000000" w:themeColor="text1"/>
                <w:sz w:val="18"/>
                <w:szCs w:val="18"/>
              </w:rPr>
              <w:t>+</w:t>
            </w:r>
            <w:r w:rsidR="00953823">
              <w:rPr>
                <w:rFonts w:ascii="Arial" w:hAnsi="Arial" w:cs="Arial"/>
                <w:b/>
                <w:color w:val="000000" w:themeColor="text1"/>
                <w:sz w:val="18"/>
                <w:szCs w:val="18"/>
              </w:rPr>
              <w:t>2.0</w:t>
            </w:r>
            <w:r w:rsidR="00DA39C3" w:rsidRPr="006D1212">
              <w:rPr>
                <w:rFonts w:ascii="Arial" w:hAnsi="Arial" w:cs="Arial"/>
                <w:b/>
                <w:color w:val="000000" w:themeColor="text1"/>
                <w:sz w:val="18"/>
                <w:szCs w:val="18"/>
              </w:rPr>
              <w:t>%</w:t>
            </w:r>
          </w:p>
        </w:tc>
        <w:tc>
          <w:tcPr>
            <w:tcW w:w="883" w:type="dxa"/>
          </w:tcPr>
          <w:p w14:paraId="6619DA05" w14:textId="3125B725" w:rsidR="000B1DF1" w:rsidRPr="006D1212" w:rsidRDefault="00FA2467"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953823">
              <w:rPr>
                <w:rFonts w:ascii="Arial" w:hAnsi="Arial" w:cs="Arial"/>
                <w:b/>
                <w:color w:val="000000" w:themeColor="text1"/>
                <w:sz w:val="18"/>
                <w:szCs w:val="18"/>
              </w:rPr>
              <w:t>1.7</w:t>
            </w:r>
            <w:r w:rsidR="000B1DF1" w:rsidRPr="006D1212">
              <w:rPr>
                <w:rFonts w:ascii="Arial" w:hAnsi="Arial" w:cs="Arial"/>
                <w:b/>
                <w:color w:val="000000" w:themeColor="text1"/>
                <w:sz w:val="18"/>
                <w:szCs w:val="18"/>
              </w:rPr>
              <w:t>%</w:t>
            </w:r>
          </w:p>
        </w:tc>
      </w:tr>
      <w:tr w:rsidR="00AE5A9A" w14:paraId="7E0E0991" w14:textId="77777777" w:rsidTr="00F26A7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AE5A9A" w:rsidRPr="00FB41A2" w:rsidRDefault="00AE5A9A" w:rsidP="00AE5A9A">
            <w:pPr>
              <w:rPr>
                <w:rFonts w:ascii="Arial" w:eastAsia="Times New Roman" w:hAnsi="Arial" w:cs="Arial"/>
                <w:b w:val="0"/>
                <w:color w:val="000000" w:themeColor="text1"/>
                <w:sz w:val="18"/>
                <w:szCs w:val="18"/>
              </w:rPr>
            </w:pPr>
            <w:r w:rsidRPr="00FB41A2">
              <w:rPr>
                <w:rFonts w:ascii="Arial" w:hAnsi="Arial" w:cs="Arial"/>
                <w:b w:val="0"/>
                <w:color w:val="000000" w:themeColor="text1"/>
                <w:sz w:val="18"/>
                <w:szCs w:val="20"/>
              </w:rPr>
              <w:t>Fresh meat</w:t>
            </w:r>
          </w:p>
        </w:tc>
        <w:tc>
          <w:tcPr>
            <w:tcW w:w="882" w:type="dxa"/>
            <w:shd w:val="clear" w:color="auto" w:fill="D9D9D9" w:themeFill="background1" w:themeFillShade="D9"/>
          </w:tcPr>
          <w:p w14:paraId="19C0C757" w14:textId="2BF2B955" w:rsidR="00AE5A9A" w:rsidRPr="00255C5C"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6D1212">
              <w:rPr>
                <w:rFonts w:ascii="Arial" w:eastAsia="Times New Roman" w:hAnsi="Arial" w:cs="Arial"/>
                <w:b/>
                <w:color w:val="000000" w:themeColor="text1"/>
                <w:sz w:val="18"/>
                <w:szCs w:val="18"/>
              </w:rPr>
              <w:t>$</w:t>
            </w:r>
            <w:r>
              <w:rPr>
                <w:rFonts w:ascii="Arial" w:eastAsia="Times New Roman" w:hAnsi="Arial" w:cs="Arial"/>
                <w:b/>
                <w:color w:val="000000" w:themeColor="text1"/>
                <w:sz w:val="18"/>
                <w:szCs w:val="18"/>
              </w:rPr>
              <w:t>7.1</w:t>
            </w:r>
            <w:r w:rsidRPr="006D1212">
              <w:rPr>
                <w:rFonts w:ascii="Arial" w:eastAsia="Times New Roman" w:hAnsi="Arial" w:cs="Arial"/>
                <w:b/>
                <w:color w:val="000000" w:themeColor="text1"/>
                <w:sz w:val="18"/>
                <w:szCs w:val="18"/>
              </w:rPr>
              <w:t>B</w:t>
            </w:r>
          </w:p>
        </w:tc>
        <w:tc>
          <w:tcPr>
            <w:tcW w:w="853" w:type="dxa"/>
            <w:shd w:val="clear" w:color="auto" w:fill="D9D9D9" w:themeFill="background1" w:themeFillShade="D9"/>
          </w:tcPr>
          <w:p w14:paraId="13AC25C1" w14:textId="4A433B40" w:rsidR="00AE5A9A" w:rsidRPr="00255C5C"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6D1212">
              <w:rPr>
                <w:rFonts w:ascii="Arial" w:hAnsi="Arial" w:cs="Arial"/>
                <w:b/>
                <w:color w:val="000000" w:themeColor="text1"/>
                <w:sz w:val="18"/>
                <w:szCs w:val="18"/>
              </w:rPr>
              <w:t>+</w:t>
            </w:r>
            <w:r>
              <w:rPr>
                <w:rFonts w:ascii="Arial" w:hAnsi="Arial" w:cs="Arial"/>
                <w:b/>
                <w:color w:val="000000" w:themeColor="text1"/>
                <w:sz w:val="18"/>
                <w:szCs w:val="18"/>
              </w:rPr>
              <w:t>8.0</w:t>
            </w:r>
            <w:r w:rsidRPr="006D1212">
              <w:rPr>
                <w:rFonts w:ascii="Arial" w:hAnsi="Arial" w:cs="Arial"/>
                <w:b/>
                <w:color w:val="000000" w:themeColor="text1"/>
                <w:sz w:val="18"/>
                <w:szCs w:val="18"/>
              </w:rPr>
              <w:t>%</w:t>
            </w:r>
          </w:p>
        </w:tc>
        <w:tc>
          <w:tcPr>
            <w:tcW w:w="913" w:type="dxa"/>
            <w:shd w:val="clear" w:color="auto" w:fill="D9D9D9" w:themeFill="background1" w:themeFillShade="D9"/>
          </w:tcPr>
          <w:p w14:paraId="4E312C16" w14:textId="35399CC2" w:rsidR="00AE5A9A" w:rsidRPr="00255C5C"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1212">
              <w:rPr>
                <w:rFonts w:ascii="Arial" w:hAnsi="Arial" w:cs="Arial"/>
                <w:b/>
                <w:color w:val="000000" w:themeColor="text1"/>
                <w:sz w:val="18"/>
                <w:szCs w:val="18"/>
              </w:rPr>
              <w:t>+</w:t>
            </w:r>
            <w:r>
              <w:rPr>
                <w:rFonts w:ascii="Arial" w:hAnsi="Arial" w:cs="Arial"/>
                <w:b/>
                <w:color w:val="000000" w:themeColor="text1"/>
                <w:sz w:val="18"/>
                <w:szCs w:val="18"/>
              </w:rPr>
              <w:t>9.6</w:t>
            </w:r>
            <w:r w:rsidRPr="006D1212">
              <w:rPr>
                <w:rFonts w:ascii="Arial" w:hAnsi="Arial" w:cs="Arial"/>
                <w:b/>
                <w:color w:val="000000" w:themeColor="text1"/>
                <w:sz w:val="18"/>
                <w:szCs w:val="18"/>
              </w:rPr>
              <w:t>%</w:t>
            </w:r>
          </w:p>
        </w:tc>
        <w:tc>
          <w:tcPr>
            <w:tcW w:w="883" w:type="dxa"/>
            <w:shd w:val="clear" w:color="auto" w:fill="D9D9D9" w:themeFill="background1" w:themeFillShade="D9"/>
          </w:tcPr>
          <w:p w14:paraId="4F753310" w14:textId="406A1580" w:rsidR="00AE5A9A" w:rsidRPr="00255C5C"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+4.9</w:t>
            </w:r>
            <w:r w:rsidRPr="006D1212">
              <w:rPr>
                <w:rFonts w:ascii="Arial" w:hAnsi="Arial" w:cs="Arial"/>
                <w:b/>
                <w:color w:val="000000" w:themeColor="text1"/>
                <w:sz w:val="18"/>
                <w:szCs w:val="18"/>
              </w:rPr>
              <w:t>%</w:t>
            </w:r>
          </w:p>
        </w:tc>
        <w:tc>
          <w:tcPr>
            <w:tcW w:w="882" w:type="dxa"/>
            <w:tcBorders>
              <w:right w:val="single" w:sz="4" w:space="0" w:color="1F497D" w:themeColor="text2"/>
            </w:tcBorders>
            <w:shd w:val="clear" w:color="auto" w:fill="D9D9D9" w:themeFill="background1" w:themeFillShade="D9"/>
          </w:tcPr>
          <w:p w14:paraId="5E34DC4E" w14:textId="5D298E66" w:rsidR="00AE5A9A" w:rsidRPr="00255C5C"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+2.2</w:t>
            </w:r>
            <w:r w:rsidRPr="006D1212">
              <w:rPr>
                <w:rFonts w:ascii="Arial" w:hAnsi="Arial" w:cs="Arial"/>
                <w:b/>
                <w:color w:val="000000" w:themeColor="text1"/>
                <w:sz w:val="18"/>
                <w:szCs w:val="18"/>
              </w:rPr>
              <w:t>%</w:t>
            </w:r>
          </w:p>
        </w:tc>
        <w:tc>
          <w:tcPr>
            <w:tcW w:w="832" w:type="dxa"/>
            <w:tcBorders>
              <w:left w:val="single" w:sz="4" w:space="0" w:color="1F497D" w:themeColor="text2"/>
            </w:tcBorders>
            <w:shd w:val="clear" w:color="auto" w:fill="D9D9D9" w:themeFill="background1" w:themeFillShade="D9"/>
          </w:tcPr>
          <w:p w14:paraId="2CF480F7" w14:textId="24B87A25" w:rsidR="00AE5A9A" w:rsidRPr="00FB41A2"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+6.4</w:t>
            </w:r>
            <w:r w:rsidRPr="00484845">
              <w:rPr>
                <w:rFonts w:ascii="Arial" w:hAnsi="Arial" w:cs="Arial"/>
                <w:color w:val="000000" w:themeColor="text1"/>
                <w:sz w:val="18"/>
                <w:szCs w:val="18"/>
              </w:rPr>
              <w:t>%</w:t>
            </w:r>
          </w:p>
        </w:tc>
        <w:tc>
          <w:tcPr>
            <w:tcW w:w="934" w:type="dxa"/>
            <w:shd w:val="clear" w:color="auto" w:fill="D9D9D9" w:themeFill="background1" w:themeFillShade="D9"/>
          </w:tcPr>
          <w:p w14:paraId="3B045B66" w14:textId="1BD3DB48" w:rsidR="00AE5A9A" w:rsidRPr="00FB41A2"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05D80">
              <w:rPr>
                <w:rFonts w:ascii="Arial" w:hAnsi="Arial" w:cs="Arial"/>
                <w:color w:val="000000" w:themeColor="text1"/>
                <w:sz w:val="18"/>
                <w:szCs w:val="18"/>
              </w:rPr>
              <w:t>+</w:t>
            </w:r>
            <w:r>
              <w:rPr>
                <w:rFonts w:ascii="Arial" w:hAnsi="Arial" w:cs="Arial"/>
                <w:color w:val="000000" w:themeColor="text1"/>
                <w:sz w:val="18"/>
                <w:szCs w:val="18"/>
              </w:rPr>
              <w:t>8.2</w:t>
            </w:r>
            <w:r w:rsidRPr="00505D80">
              <w:rPr>
                <w:rFonts w:ascii="Arial" w:hAnsi="Arial" w:cs="Arial"/>
                <w:color w:val="000000" w:themeColor="text1"/>
                <w:sz w:val="18"/>
                <w:szCs w:val="18"/>
              </w:rPr>
              <w:t>%</w:t>
            </w:r>
          </w:p>
        </w:tc>
        <w:tc>
          <w:tcPr>
            <w:tcW w:w="883" w:type="dxa"/>
            <w:shd w:val="clear" w:color="auto" w:fill="D9D9D9" w:themeFill="background1" w:themeFillShade="D9"/>
          </w:tcPr>
          <w:p w14:paraId="31331F76" w14:textId="104CF110" w:rsidR="00AE5A9A" w:rsidRPr="00FB41A2"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+2.9%</w:t>
            </w:r>
          </w:p>
        </w:tc>
        <w:tc>
          <w:tcPr>
            <w:tcW w:w="883" w:type="dxa"/>
            <w:shd w:val="clear" w:color="auto" w:fill="D9D9D9" w:themeFill="background1" w:themeFillShade="D9"/>
          </w:tcPr>
          <w:p w14:paraId="114ACFAE" w14:textId="07335B2F" w:rsidR="00AE5A9A" w:rsidRPr="00FB41A2"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+3.2</w:t>
            </w:r>
            <w:r w:rsidRPr="00397B71">
              <w:rPr>
                <w:rFonts w:ascii="Arial" w:hAnsi="Arial" w:cs="Arial"/>
                <w:color w:val="000000" w:themeColor="text1"/>
                <w:sz w:val="18"/>
                <w:szCs w:val="18"/>
              </w:rPr>
              <w:t>%</w:t>
            </w:r>
          </w:p>
        </w:tc>
      </w:tr>
      <w:tr w:rsidR="00AE5A9A" w14:paraId="5B87501B"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AE5A9A" w:rsidRPr="00FB41A2" w:rsidRDefault="00AE5A9A" w:rsidP="00AE5A9A">
            <w:pPr>
              <w:rPr>
                <w:rFonts w:ascii="Arial" w:eastAsia="Times New Roman" w:hAnsi="Arial" w:cs="Arial"/>
                <w:b w:val="0"/>
                <w:bCs w:val="0"/>
                <w:color w:val="000000" w:themeColor="text1"/>
                <w:sz w:val="18"/>
                <w:szCs w:val="18"/>
              </w:rPr>
            </w:pPr>
            <w:r w:rsidRPr="00FB41A2">
              <w:rPr>
                <w:rFonts w:ascii="Arial" w:hAnsi="Arial" w:cs="Arial"/>
                <w:b w:val="0"/>
                <w:color w:val="000000" w:themeColor="text1"/>
                <w:sz w:val="18"/>
                <w:szCs w:val="20"/>
              </w:rPr>
              <w:t>Processed meat</w:t>
            </w:r>
          </w:p>
        </w:tc>
        <w:tc>
          <w:tcPr>
            <w:tcW w:w="882" w:type="dxa"/>
          </w:tcPr>
          <w:p w14:paraId="2CC43909" w14:textId="41233C76" w:rsidR="00AE5A9A" w:rsidRPr="00255C5C"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sidRPr="006D1212">
              <w:rPr>
                <w:rFonts w:ascii="Arial" w:eastAsia="Times New Roman" w:hAnsi="Arial" w:cs="Arial"/>
                <w:b/>
                <w:color w:val="000000" w:themeColor="text1"/>
                <w:sz w:val="18"/>
                <w:szCs w:val="18"/>
              </w:rPr>
              <w:t>$</w:t>
            </w:r>
            <w:r>
              <w:rPr>
                <w:rFonts w:ascii="Arial" w:eastAsia="Times New Roman" w:hAnsi="Arial" w:cs="Arial"/>
                <w:b/>
                <w:color w:val="000000" w:themeColor="text1"/>
                <w:sz w:val="18"/>
                <w:szCs w:val="18"/>
              </w:rPr>
              <w:t>2.9</w:t>
            </w:r>
            <w:r w:rsidRPr="006D1212">
              <w:rPr>
                <w:rFonts w:ascii="Arial" w:eastAsia="Times New Roman" w:hAnsi="Arial" w:cs="Arial"/>
                <w:b/>
                <w:color w:val="000000" w:themeColor="text1"/>
                <w:sz w:val="18"/>
                <w:szCs w:val="18"/>
              </w:rPr>
              <w:t>B</w:t>
            </w:r>
          </w:p>
        </w:tc>
        <w:tc>
          <w:tcPr>
            <w:tcW w:w="853" w:type="dxa"/>
          </w:tcPr>
          <w:p w14:paraId="7ECCC6D6" w14:textId="6A2975C4" w:rsidR="00AE5A9A" w:rsidRPr="00255C5C"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-0.5</w:t>
            </w:r>
            <w:r w:rsidRPr="006D1212">
              <w:rPr>
                <w:rFonts w:ascii="Arial" w:hAnsi="Arial" w:cs="Arial"/>
                <w:b/>
                <w:color w:val="000000" w:themeColor="text1"/>
                <w:sz w:val="18"/>
                <w:szCs w:val="18"/>
              </w:rPr>
              <w:t>%</w:t>
            </w:r>
          </w:p>
        </w:tc>
        <w:tc>
          <w:tcPr>
            <w:tcW w:w="913" w:type="dxa"/>
          </w:tcPr>
          <w:p w14:paraId="10F50545" w14:textId="1196EA3D" w:rsidR="00AE5A9A" w:rsidRPr="00255C5C"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-2.9</w:t>
            </w:r>
            <w:r w:rsidRPr="006D1212">
              <w:rPr>
                <w:rFonts w:ascii="Arial" w:hAnsi="Arial" w:cs="Arial"/>
                <w:b/>
                <w:color w:val="000000" w:themeColor="text1"/>
                <w:sz w:val="18"/>
                <w:szCs w:val="18"/>
              </w:rPr>
              <w:t>%</w:t>
            </w:r>
          </w:p>
        </w:tc>
        <w:tc>
          <w:tcPr>
            <w:tcW w:w="883" w:type="dxa"/>
          </w:tcPr>
          <w:p w14:paraId="22D7CF8E" w14:textId="09CE46B1" w:rsidR="00AE5A9A" w:rsidRPr="00255C5C"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-0.6</w:t>
            </w:r>
            <w:r w:rsidRPr="006D1212">
              <w:rPr>
                <w:rFonts w:ascii="Arial" w:hAnsi="Arial" w:cs="Arial"/>
                <w:b/>
                <w:color w:val="000000" w:themeColor="text1"/>
                <w:sz w:val="18"/>
                <w:szCs w:val="18"/>
              </w:rPr>
              <w:t>%</w:t>
            </w:r>
          </w:p>
        </w:tc>
        <w:tc>
          <w:tcPr>
            <w:tcW w:w="882" w:type="dxa"/>
            <w:tcBorders>
              <w:right w:val="single" w:sz="4" w:space="0" w:color="1F497D" w:themeColor="text2"/>
            </w:tcBorders>
          </w:tcPr>
          <w:p w14:paraId="4C4249DC" w14:textId="5485D41A" w:rsidR="00AE5A9A" w:rsidRPr="00255C5C" w:rsidRDefault="00AE5A9A"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
                <w:color w:val="000000" w:themeColor="text1"/>
                <w:sz w:val="18"/>
                <w:szCs w:val="18"/>
              </w:rPr>
              <w:t>-2.8</w:t>
            </w:r>
            <w:r w:rsidRPr="006D1212">
              <w:rPr>
                <w:rFonts w:ascii="Arial" w:hAnsi="Arial" w:cs="Arial"/>
                <w:b/>
                <w:color w:val="000000" w:themeColor="text1"/>
                <w:sz w:val="18"/>
                <w:szCs w:val="18"/>
              </w:rPr>
              <w:t>%</w:t>
            </w:r>
          </w:p>
        </w:tc>
        <w:tc>
          <w:tcPr>
            <w:tcW w:w="832" w:type="dxa"/>
            <w:tcBorders>
              <w:left w:val="single" w:sz="4" w:space="0" w:color="1F497D" w:themeColor="text2"/>
            </w:tcBorders>
          </w:tcPr>
          <w:p w14:paraId="26185D82" w14:textId="346CBED9" w:rsidR="00AE5A9A" w:rsidRPr="00FB41A2" w:rsidRDefault="00AE5A9A"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-0.3</w:t>
            </w:r>
            <w:r w:rsidRPr="00484845">
              <w:rPr>
                <w:rFonts w:ascii="Arial" w:hAnsi="Arial" w:cs="Arial"/>
                <w:color w:val="000000" w:themeColor="text1"/>
                <w:sz w:val="18"/>
                <w:szCs w:val="18"/>
              </w:rPr>
              <w:t>%</w:t>
            </w:r>
          </w:p>
        </w:tc>
        <w:tc>
          <w:tcPr>
            <w:tcW w:w="934" w:type="dxa"/>
          </w:tcPr>
          <w:p w14:paraId="0FC7FCE0" w14:textId="669EDE92" w:rsidR="00AE5A9A" w:rsidRPr="00FB41A2" w:rsidRDefault="00AE5A9A"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-1.3</w:t>
            </w:r>
            <w:r w:rsidRPr="00505D80">
              <w:rPr>
                <w:rFonts w:ascii="Arial" w:hAnsi="Arial" w:cs="Arial"/>
                <w:color w:val="000000" w:themeColor="text1"/>
                <w:sz w:val="18"/>
                <w:szCs w:val="18"/>
              </w:rPr>
              <w:t>%</w:t>
            </w:r>
          </w:p>
        </w:tc>
        <w:tc>
          <w:tcPr>
            <w:tcW w:w="883" w:type="dxa"/>
          </w:tcPr>
          <w:p w14:paraId="063CDD25" w14:textId="19DC1150" w:rsidR="00AE5A9A" w:rsidRPr="00FB41A2" w:rsidRDefault="00AE5A9A"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-0.1%</w:t>
            </w:r>
          </w:p>
        </w:tc>
        <w:tc>
          <w:tcPr>
            <w:tcW w:w="883" w:type="dxa"/>
          </w:tcPr>
          <w:p w14:paraId="67FC77A8" w14:textId="55BE6EFF" w:rsidR="00AE5A9A" w:rsidRPr="00FB41A2" w:rsidRDefault="00AE5A9A"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r w:rsidRPr="00397B71">
              <w:rPr>
                <w:rFonts w:ascii="Arial" w:hAnsi="Arial" w:cs="Arial"/>
                <w:color w:val="000000" w:themeColor="text1"/>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r w:rsidR="00FB48FE" w:rsidRPr="00FE184C">
        <w:rPr>
          <w:rFonts w:ascii="Arial" w:hAnsi="Arial" w:cs="Arial"/>
          <w:color w:val="7F7F7F" w:themeColor="text1" w:themeTint="80"/>
          <w:sz w:val="16"/>
          <w:szCs w:val="16"/>
        </w:rPr>
        <w:t>Circana</w:t>
      </w:r>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7D84F5E2" w14:textId="681C2689" w:rsidR="006C1E27" w:rsidRDefault="006C1E27" w:rsidP="002D593A">
      <w:pPr>
        <w:pStyle w:val="NoSpacing"/>
        <w:rPr>
          <w:rFonts w:ascii="Arial" w:hAnsi="Arial" w:cs="Arial"/>
          <w:sz w:val="20"/>
          <w:szCs w:val="20"/>
        </w:rPr>
      </w:pPr>
    </w:p>
    <w:p w14:paraId="55C5BECA" w14:textId="365DBCA9" w:rsidR="00573610" w:rsidRDefault="00573610" w:rsidP="00946E94">
      <w:pPr>
        <w:pStyle w:val="NoSpacing"/>
        <w:rPr>
          <w:rFonts w:ascii="Arial" w:hAnsi="Arial" w:cs="Arial"/>
          <w:color w:val="7F7F7F" w:themeColor="text1" w:themeTint="80"/>
          <w:sz w:val="16"/>
          <w:szCs w:val="16"/>
        </w:rPr>
      </w:pPr>
    </w:p>
    <w:p w14:paraId="5F9D49BC" w14:textId="517C044C" w:rsidR="00573610" w:rsidRDefault="00573610" w:rsidP="00946E94">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drawing>
          <wp:inline distT="0" distB="0" distL="0" distR="0" wp14:anchorId="5E7CE3D6" wp14:editId="626BEC6D">
            <wp:extent cx="6638925" cy="2918129"/>
            <wp:effectExtent l="0" t="0" r="9525" b="1587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126C82" w14:textId="5D534C27" w:rsidR="00946E94" w:rsidRPr="00AD4C9E" w:rsidRDefault="00946E94" w:rsidP="00946E94">
      <w:pPr>
        <w:pStyle w:val="NoSpacing"/>
        <w:rPr>
          <w:rFonts w:ascii="Arial" w:hAnsi="Arial" w:cs="Arial"/>
          <w:color w:val="7F7F7F" w:themeColor="text1" w:themeTint="80"/>
          <w:sz w:val="16"/>
          <w:szCs w:val="16"/>
        </w:rPr>
      </w:pPr>
      <w:r w:rsidRPr="00AD4C9E">
        <w:rPr>
          <w:rFonts w:ascii="Arial" w:hAnsi="Arial" w:cs="Arial"/>
          <w:color w:val="7F7F7F" w:themeColor="text1" w:themeTint="80"/>
          <w:sz w:val="16"/>
          <w:szCs w:val="16"/>
        </w:rPr>
        <w:t xml:space="preserve">Source: </w:t>
      </w:r>
      <w:r w:rsidR="00FB48FE" w:rsidRPr="00AD4C9E">
        <w:rPr>
          <w:rFonts w:ascii="Arial" w:hAnsi="Arial" w:cs="Arial"/>
          <w:color w:val="7F7F7F" w:themeColor="text1" w:themeTint="80"/>
          <w:sz w:val="16"/>
          <w:szCs w:val="16"/>
        </w:rPr>
        <w:t>Circana</w:t>
      </w:r>
      <w:r w:rsidRPr="00AD4C9E">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p w14:paraId="46800A25" w14:textId="41F8E078" w:rsidR="00297E8F" w:rsidRDefault="00297E8F">
      <w:pPr>
        <w:rPr>
          <w:rFonts w:ascii="Arial" w:hAnsi="Arial" w:cs="Arial"/>
          <w:b/>
          <w:color w:val="595959" w:themeColor="text1" w:themeTint="A6"/>
          <w:sz w:val="24"/>
          <w:szCs w:val="24"/>
        </w:rPr>
      </w:pPr>
      <w:r>
        <w:rPr>
          <w:rFonts w:ascii="Arial" w:hAnsi="Arial" w:cs="Arial"/>
          <w:b/>
          <w:color w:val="595959" w:themeColor="text1" w:themeTint="A6"/>
          <w:sz w:val="24"/>
          <w:szCs w:val="24"/>
        </w:rPr>
        <w:br w:type="page"/>
      </w:r>
    </w:p>
    <w:p w14:paraId="3465E199" w14:textId="77777777" w:rsidR="00297E8F" w:rsidRDefault="00297E8F" w:rsidP="00297E8F">
      <w:pPr>
        <w:pStyle w:val="NoSpacing"/>
        <w:rPr>
          <w:rFonts w:ascii="Arial" w:hAnsi="Arial" w:cs="Arial"/>
          <w:sz w:val="20"/>
          <w:szCs w:val="20"/>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5F575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5F575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5F575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297E8F" w:rsidRPr="00FB41A2" w14:paraId="26D27FA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77777777" w:rsidR="00297E8F" w:rsidRDefault="00297E8F" w:rsidP="00FE7C73">
            <w:pPr>
              <w:pStyle w:val="NoSpacing"/>
              <w:rPr>
                <w:rFonts w:ascii="Arial" w:hAnsi="Arial" w:cs="Arial"/>
                <w:color w:val="000000"/>
                <w:sz w:val="18"/>
                <w:szCs w:val="18"/>
              </w:rPr>
            </w:pPr>
            <w:r>
              <w:rPr>
                <w:rFonts w:ascii="Arial" w:hAnsi="Arial" w:cs="Arial"/>
                <w:color w:val="000000"/>
                <w:sz w:val="18"/>
                <w:szCs w:val="18"/>
              </w:rPr>
              <w:t>October 2024</w:t>
            </w:r>
          </w:p>
        </w:tc>
        <w:tc>
          <w:tcPr>
            <w:tcW w:w="927" w:type="dxa"/>
            <w:vAlign w:val="center"/>
          </w:tcPr>
          <w:p w14:paraId="49ABC8CA" w14:textId="1E7E1749"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E7C73">
              <w:rPr>
                <w:rFonts w:ascii="Arial" w:hAnsi="Arial" w:cs="Arial"/>
                <w:b/>
                <w:color w:val="000000" w:themeColor="text1"/>
                <w:sz w:val="18"/>
                <w:szCs w:val="18"/>
              </w:rPr>
              <w:t>10.0</w:t>
            </w:r>
            <w:r w:rsidRPr="00A54264">
              <w:rPr>
                <w:rFonts w:ascii="Arial" w:hAnsi="Arial" w:cs="Arial"/>
                <w:b/>
                <w:color w:val="000000" w:themeColor="text1"/>
                <w:sz w:val="18"/>
                <w:szCs w:val="18"/>
              </w:rPr>
              <w:t>B</w:t>
            </w:r>
          </w:p>
        </w:tc>
        <w:tc>
          <w:tcPr>
            <w:tcW w:w="1017" w:type="dxa"/>
            <w:vAlign w:val="center"/>
          </w:tcPr>
          <w:p w14:paraId="5E42C892" w14:textId="4E18F897"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E7C73">
              <w:rPr>
                <w:rFonts w:ascii="Arial" w:hAnsi="Arial" w:cs="Arial"/>
                <w:b/>
                <w:color w:val="000000" w:themeColor="text1"/>
                <w:sz w:val="18"/>
                <w:szCs w:val="18"/>
              </w:rPr>
              <w:t>5.4</w:t>
            </w:r>
            <w:r w:rsidRPr="00A54264">
              <w:rPr>
                <w:rFonts w:ascii="Arial" w:hAnsi="Arial" w:cs="Arial"/>
                <w:b/>
                <w:color w:val="000000" w:themeColor="text1"/>
                <w:sz w:val="18"/>
                <w:szCs w:val="18"/>
              </w:rPr>
              <w:t>%</w:t>
            </w:r>
          </w:p>
        </w:tc>
        <w:tc>
          <w:tcPr>
            <w:tcW w:w="1364" w:type="dxa"/>
            <w:vAlign w:val="center"/>
          </w:tcPr>
          <w:p w14:paraId="4315650D" w14:textId="688766EC"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E7C73">
              <w:rPr>
                <w:rFonts w:ascii="Arial" w:hAnsi="Arial" w:cs="Arial"/>
                <w:b/>
                <w:color w:val="000000" w:themeColor="text1"/>
                <w:sz w:val="18"/>
                <w:szCs w:val="18"/>
              </w:rPr>
              <w:t>3.4</w:t>
            </w:r>
            <w:r w:rsidRPr="00A54264">
              <w:rPr>
                <w:rFonts w:ascii="Arial" w:hAnsi="Arial" w:cs="Arial"/>
                <w:b/>
                <w:color w:val="000000" w:themeColor="text1"/>
                <w:sz w:val="18"/>
                <w:szCs w:val="18"/>
              </w:rPr>
              <w:t>%</w:t>
            </w:r>
          </w:p>
        </w:tc>
      </w:tr>
      <w:tr w:rsidR="00297E8F" w:rsidRPr="00FB41A2" w14:paraId="23C5AE97"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77777777" w:rsidR="00297E8F" w:rsidRPr="00096DC9" w:rsidRDefault="00297E8F" w:rsidP="00FE7C73">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W.E. 10-06-24</w:t>
            </w:r>
          </w:p>
        </w:tc>
        <w:tc>
          <w:tcPr>
            <w:tcW w:w="927" w:type="dxa"/>
            <w:vAlign w:val="center"/>
          </w:tcPr>
          <w:p w14:paraId="45F007E0" w14:textId="589A2F35" w:rsidR="00297E8F" w:rsidRDefault="00297E8F"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2.154</w:t>
            </w:r>
            <w:r>
              <w:rPr>
                <w:rFonts w:ascii="Arial" w:hAnsi="Arial" w:cs="Arial"/>
                <w:color w:val="000000" w:themeColor="text1"/>
                <w:sz w:val="18"/>
                <w:szCs w:val="18"/>
              </w:rPr>
              <w:t>B</w:t>
            </w:r>
          </w:p>
        </w:tc>
        <w:tc>
          <w:tcPr>
            <w:tcW w:w="1017" w:type="dxa"/>
            <w:vAlign w:val="center"/>
          </w:tcPr>
          <w:p w14:paraId="246AF52B" w14:textId="3C0ECAF0" w:rsidR="00297E8F"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+10.0</w:t>
            </w:r>
            <w:r w:rsidR="00297E8F">
              <w:rPr>
                <w:rFonts w:ascii="Arial" w:hAnsi="Arial" w:cs="Arial"/>
                <w:color w:val="000000" w:themeColor="text1"/>
                <w:sz w:val="18"/>
                <w:szCs w:val="18"/>
              </w:rPr>
              <w:t>%</w:t>
            </w:r>
          </w:p>
        </w:tc>
        <w:tc>
          <w:tcPr>
            <w:tcW w:w="1364" w:type="dxa"/>
            <w:vAlign w:val="center"/>
          </w:tcPr>
          <w:p w14:paraId="364C2F77" w14:textId="04D82FC4" w:rsidR="00297E8F" w:rsidRPr="00FB41A2" w:rsidRDefault="00297E8F"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9.7</w:t>
            </w:r>
            <w:r>
              <w:rPr>
                <w:rFonts w:ascii="Arial" w:hAnsi="Arial" w:cs="Arial"/>
                <w:color w:val="000000" w:themeColor="text1"/>
                <w:sz w:val="18"/>
                <w:szCs w:val="18"/>
              </w:rPr>
              <w:t>%</w:t>
            </w:r>
          </w:p>
        </w:tc>
      </w:tr>
      <w:tr w:rsidR="00FE7C73" w:rsidRPr="00FB41A2" w14:paraId="2BE079E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7460B57A" w:rsidR="00FE7C73" w:rsidRPr="00FE7C73" w:rsidRDefault="00FE7C73" w:rsidP="00FE7C73">
            <w:pPr>
              <w:pStyle w:val="NoSpacing"/>
              <w:rPr>
                <w:rFonts w:ascii="Arial" w:hAnsi="Arial" w:cs="Arial"/>
                <w:b w:val="0"/>
                <w:bCs w:val="0"/>
                <w:color w:val="000000"/>
                <w:sz w:val="18"/>
                <w:szCs w:val="18"/>
              </w:rPr>
            </w:pPr>
            <w:r w:rsidRPr="00FE7C73">
              <w:rPr>
                <w:rFonts w:ascii="Arial" w:hAnsi="Arial" w:cs="Arial"/>
                <w:b w:val="0"/>
                <w:bCs w:val="0"/>
                <w:color w:val="000000"/>
                <w:sz w:val="18"/>
                <w:szCs w:val="18"/>
              </w:rPr>
              <w:t>W.E. 10-13-24</w:t>
            </w:r>
          </w:p>
        </w:tc>
        <w:tc>
          <w:tcPr>
            <w:tcW w:w="927" w:type="dxa"/>
            <w:vAlign w:val="center"/>
          </w:tcPr>
          <w:p w14:paraId="6AFEB218" w14:textId="49739D5A" w:rsidR="00FE7C73" w:rsidRPr="00FE7C73"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$2.016B</w:t>
            </w:r>
          </w:p>
        </w:tc>
        <w:tc>
          <w:tcPr>
            <w:tcW w:w="1017" w:type="dxa"/>
            <w:vAlign w:val="center"/>
          </w:tcPr>
          <w:p w14:paraId="480333EF" w14:textId="407D004C" w:rsidR="00FE7C73" w:rsidRPr="00FE7C73"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+4.2%</w:t>
            </w:r>
          </w:p>
        </w:tc>
        <w:tc>
          <w:tcPr>
            <w:tcW w:w="1364" w:type="dxa"/>
            <w:vAlign w:val="center"/>
          </w:tcPr>
          <w:p w14:paraId="3DEC4359" w14:textId="00FAB364" w:rsidR="00FE7C73" w:rsidRPr="00FE7C73"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+2.2%</w:t>
            </w:r>
          </w:p>
        </w:tc>
      </w:tr>
      <w:tr w:rsidR="00FE7C73" w:rsidRPr="00FB41A2" w14:paraId="169C4DE3"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77777777" w:rsidR="00FE7C73" w:rsidRPr="00096DC9" w:rsidRDefault="00FE7C73" w:rsidP="00FE7C73">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10-20-24</w:t>
            </w:r>
          </w:p>
        </w:tc>
        <w:tc>
          <w:tcPr>
            <w:tcW w:w="927" w:type="dxa"/>
            <w:vAlign w:val="center"/>
          </w:tcPr>
          <w:p w14:paraId="124BAB70" w14:textId="30BF8B41" w:rsidR="00FE7C73"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$1.978B</w:t>
            </w:r>
          </w:p>
        </w:tc>
        <w:tc>
          <w:tcPr>
            <w:tcW w:w="1017" w:type="dxa"/>
            <w:vAlign w:val="center"/>
          </w:tcPr>
          <w:p w14:paraId="7BFCA14E" w14:textId="7DE5ECF8"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+6.3%</w:t>
            </w:r>
          </w:p>
        </w:tc>
        <w:tc>
          <w:tcPr>
            <w:tcW w:w="1364" w:type="dxa"/>
            <w:vAlign w:val="center"/>
          </w:tcPr>
          <w:p w14:paraId="25C52154" w14:textId="2436A709"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+4.5%</w:t>
            </w:r>
          </w:p>
        </w:tc>
      </w:tr>
      <w:tr w:rsidR="00FE7C73" w:rsidRPr="00FB41A2" w14:paraId="5390419F"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77777777" w:rsidR="00FE7C73" w:rsidRPr="00096DC9" w:rsidRDefault="00FE7C73" w:rsidP="00FE7C73">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10-27-24</w:t>
            </w:r>
          </w:p>
        </w:tc>
        <w:tc>
          <w:tcPr>
            <w:tcW w:w="927" w:type="dxa"/>
            <w:vAlign w:val="center"/>
          </w:tcPr>
          <w:p w14:paraId="05C1DE40" w14:textId="64042249" w:rsidR="00FE7C73"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$1.911B</w:t>
            </w:r>
          </w:p>
        </w:tc>
        <w:tc>
          <w:tcPr>
            <w:tcW w:w="1017" w:type="dxa"/>
            <w:vAlign w:val="center"/>
          </w:tcPr>
          <w:p w14:paraId="7977E136" w14:textId="10EEE170"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+5.2%</w:t>
            </w:r>
          </w:p>
        </w:tc>
        <w:tc>
          <w:tcPr>
            <w:tcW w:w="1364" w:type="dxa"/>
            <w:vAlign w:val="center"/>
          </w:tcPr>
          <w:p w14:paraId="0707DC04" w14:textId="64528EF8"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+3.4%</w:t>
            </w:r>
          </w:p>
        </w:tc>
      </w:tr>
      <w:tr w:rsidR="00FE7C73" w:rsidRPr="00FB41A2" w14:paraId="11C9C27E"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0324521" w14:textId="77777777" w:rsidR="00FE7C73" w:rsidRPr="00096DC9" w:rsidRDefault="00FE7C73" w:rsidP="00FE7C73">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11-3-24</w:t>
            </w:r>
          </w:p>
        </w:tc>
        <w:tc>
          <w:tcPr>
            <w:tcW w:w="927" w:type="dxa"/>
            <w:vAlign w:val="center"/>
          </w:tcPr>
          <w:p w14:paraId="0392F110" w14:textId="3D9340AA" w:rsidR="00FE7C73"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$1.956B</w:t>
            </w:r>
          </w:p>
        </w:tc>
        <w:tc>
          <w:tcPr>
            <w:tcW w:w="1017" w:type="dxa"/>
            <w:vAlign w:val="center"/>
          </w:tcPr>
          <w:p w14:paraId="37369FC5" w14:textId="4CF6E657"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p>
        </w:tc>
        <w:tc>
          <w:tcPr>
            <w:tcW w:w="1364" w:type="dxa"/>
            <w:vAlign w:val="center"/>
          </w:tcPr>
          <w:p w14:paraId="459C21CE" w14:textId="750C49B1"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w:t>
            </w:r>
          </w:p>
        </w:tc>
      </w:tr>
    </w:tbl>
    <w:p w14:paraId="04370969" w14:textId="44A83418" w:rsidR="00297E8F" w:rsidRDefault="00297E8F" w:rsidP="00297E8F">
      <w:pPr>
        <w:pStyle w:val="NoSpacing"/>
        <w:rPr>
          <w:rFonts w:ascii="Arial" w:hAnsi="Arial" w:cs="Arial"/>
          <w:sz w:val="20"/>
          <w:szCs w:val="20"/>
        </w:rPr>
      </w:pPr>
      <w:r>
        <w:rPr>
          <w:rFonts w:ascii="Arial" w:hAnsi="Arial" w:cs="Arial"/>
          <w:sz w:val="20"/>
          <w:szCs w:val="20"/>
        </w:rPr>
        <w:t>All October weeks experienced dollar growth in comparison to year-ago levels, with a big bump for the week ending October 6</w:t>
      </w:r>
      <w:r w:rsidRPr="008870AC">
        <w:rPr>
          <w:rFonts w:ascii="Arial" w:hAnsi="Arial" w:cs="Arial"/>
          <w:sz w:val="20"/>
          <w:szCs w:val="20"/>
          <w:vertAlign w:val="superscript"/>
        </w:rPr>
        <w:t>th</w:t>
      </w:r>
      <w:r>
        <w:rPr>
          <w:rFonts w:ascii="Arial" w:hAnsi="Arial" w:cs="Arial"/>
          <w:sz w:val="20"/>
          <w:szCs w:val="20"/>
        </w:rPr>
        <w:t>. During this week, dollar sales increased 10.</w:t>
      </w:r>
      <w:r w:rsidR="00FE7C73">
        <w:rPr>
          <w:rFonts w:ascii="Arial" w:hAnsi="Arial" w:cs="Arial"/>
          <w:sz w:val="20"/>
          <w:szCs w:val="20"/>
        </w:rPr>
        <w:t>0</w:t>
      </w:r>
      <w:r>
        <w:rPr>
          <w:rFonts w:ascii="Arial" w:hAnsi="Arial" w:cs="Arial"/>
          <w:sz w:val="20"/>
          <w:szCs w:val="20"/>
        </w:rPr>
        <w:t xml:space="preserve">% over the same week in 2023 and volume rose 9.7%. </w:t>
      </w:r>
    </w:p>
    <w:p w14:paraId="4E70A602" w14:textId="77777777" w:rsidR="00297E8F" w:rsidRDefault="00297E8F" w:rsidP="00297E8F">
      <w:pPr>
        <w:pStyle w:val="NoSpacing"/>
        <w:rPr>
          <w:rFonts w:ascii="Arial" w:hAnsi="Arial" w:cs="Arial"/>
          <w:sz w:val="20"/>
          <w:szCs w:val="20"/>
        </w:rPr>
      </w:pPr>
    </w:p>
    <w:p w14:paraId="529D82A7" w14:textId="38AF745B" w:rsidR="00297E8F" w:rsidRDefault="00297E8F" w:rsidP="00297E8F">
      <w:pPr>
        <w:pStyle w:val="NoSpacing"/>
        <w:rPr>
          <w:rFonts w:ascii="Arial" w:hAnsi="Arial" w:cs="Arial"/>
          <w:sz w:val="20"/>
          <w:szCs w:val="20"/>
        </w:rPr>
      </w:pPr>
      <w:r>
        <w:rPr>
          <w:rFonts w:ascii="Arial" w:hAnsi="Arial" w:cs="Arial"/>
          <w:sz w:val="20"/>
          <w:szCs w:val="20"/>
        </w:rPr>
        <w:t xml:space="preserve">Volume sales stayed ahead </w:t>
      </w:r>
      <w:r w:rsidR="00FE7C73">
        <w:rPr>
          <w:rFonts w:ascii="Arial" w:hAnsi="Arial" w:cs="Arial"/>
          <w:sz w:val="20"/>
          <w:szCs w:val="20"/>
        </w:rPr>
        <w:t>of last year during the October weeks</w:t>
      </w:r>
      <w:r>
        <w:rPr>
          <w:rFonts w:ascii="Arial" w:hAnsi="Arial" w:cs="Arial"/>
          <w:sz w:val="20"/>
          <w:szCs w:val="20"/>
        </w:rPr>
        <w:t>, but fell slightly behind in the final week</w:t>
      </w:r>
      <w:r w:rsidR="00FE7C73">
        <w:rPr>
          <w:rFonts w:ascii="Arial" w:hAnsi="Arial" w:cs="Arial"/>
          <w:sz w:val="20"/>
          <w:szCs w:val="20"/>
        </w:rPr>
        <w:t xml:space="preserve"> ending November 3</w:t>
      </w:r>
      <w:r w:rsidR="00FE7C73" w:rsidRPr="00FE7C73">
        <w:rPr>
          <w:rFonts w:ascii="Arial" w:hAnsi="Arial" w:cs="Arial"/>
          <w:sz w:val="20"/>
          <w:szCs w:val="20"/>
          <w:vertAlign w:val="superscript"/>
        </w:rPr>
        <w:t>rd</w:t>
      </w:r>
      <w:r>
        <w:rPr>
          <w:rFonts w:ascii="Arial" w:hAnsi="Arial" w:cs="Arial"/>
          <w:sz w:val="20"/>
          <w:szCs w:val="20"/>
        </w:rPr>
        <w:t xml:space="preserve">, at -2.4%.  </w:t>
      </w:r>
    </w:p>
    <w:p w14:paraId="7FAA1808" w14:textId="77777777" w:rsidR="00297E8F" w:rsidRDefault="00297E8F" w:rsidP="00297E8F">
      <w:pPr>
        <w:pStyle w:val="NoSpacing"/>
        <w:rPr>
          <w:rFonts w:ascii="Arial" w:hAnsi="Arial" w:cs="Arial"/>
          <w:sz w:val="20"/>
          <w:szCs w:val="20"/>
        </w:rPr>
      </w:pPr>
    </w:p>
    <w:p w14:paraId="3B68E32B" w14:textId="77777777" w:rsidR="00297E8F" w:rsidRDefault="00297E8F" w:rsidP="00297E8F">
      <w:pPr>
        <w:pStyle w:val="NoSpacing"/>
        <w:rPr>
          <w:rFonts w:ascii="Arial" w:hAnsi="Arial" w:cs="Arial"/>
          <w:sz w:val="20"/>
          <w:szCs w:val="20"/>
        </w:rPr>
      </w:pPr>
      <w:r>
        <w:rPr>
          <w:rFonts w:ascii="Arial" w:hAnsi="Arial" w:cs="Arial"/>
          <w:sz w:val="20"/>
          <w:szCs w:val="20"/>
        </w:rPr>
        <w:t xml:space="preserve">With October delivering another strong performance, the year-to-date meat department sales reached $87.0 billion, which reflects an increase of 4.7%. Year-to-date pound sales reached 18.6 billion, which is up 2.4% over the same period last year. </w:t>
      </w:r>
    </w:p>
    <w:p w14:paraId="03C840AD" w14:textId="77777777" w:rsidR="00573610" w:rsidRDefault="00573610" w:rsidP="001D42B8">
      <w:pPr>
        <w:pStyle w:val="NoSpacing"/>
        <w:rPr>
          <w:rFonts w:ascii="Arial" w:hAnsi="Arial" w:cs="Arial"/>
          <w:b/>
          <w:color w:val="595959" w:themeColor="text1" w:themeTint="A6"/>
          <w:sz w:val="24"/>
          <w:szCs w:val="24"/>
        </w:rPr>
      </w:pPr>
    </w:p>
    <w:p w14:paraId="7B831515" w14:textId="6A5E80CC"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10CE3ED4" w14:textId="71A8F7AE" w:rsidR="00C9447B" w:rsidRPr="00C9447B" w:rsidRDefault="00C9447B" w:rsidP="00C9447B">
      <w:pPr>
        <w:spacing w:after="0" w:line="240" w:lineRule="auto"/>
        <w:rPr>
          <w:rFonts w:ascii="Arial" w:hAnsi="Arial" w:cs="Arial"/>
          <w:sz w:val="20"/>
          <w:szCs w:val="20"/>
        </w:rPr>
      </w:pPr>
      <w:r w:rsidRPr="00C9447B">
        <w:rPr>
          <w:rFonts w:ascii="Arial" w:hAnsi="Arial" w:cs="Arial"/>
          <w:sz w:val="20"/>
          <w:szCs w:val="20"/>
        </w:rPr>
        <w:t>Meat department assortment, measured in the number of wee</w:t>
      </w:r>
      <w:r w:rsidR="00094547">
        <w:rPr>
          <w:rFonts w:ascii="Arial" w:hAnsi="Arial" w:cs="Arial"/>
          <w:sz w:val="20"/>
          <w:szCs w:val="20"/>
        </w:rPr>
        <w:t>kly items per store</w:t>
      </w:r>
      <w:r w:rsidR="0043292E">
        <w:rPr>
          <w:rFonts w:ascii="Arial" w:hAnsi="Arial" w:cs="Arial"/>
          <w:sz w:val="20"/>
          <w:szCs w:val="20"/>
        </w:rPr>
        <w:t>, averaged 42</w:t>
      </w:r>
      <w:r w:rsidR="00755635">
        <w:rPr>
          <w:rFonts w:ascii="Arial" w:hAnsi="Arial" w:cs="Arial"/>
          <w:sz w:val="20"/>
          <w:szCs w:val="20"/>
        </w:rPr>
        <w:t>5</w:t>
      </w:r>
      <w:r w:rsidRPr="00C9447B">
        <w:rPr>
          <w:rFonts w:ascii="Arial" w:hAnsi="Arial" w:cs="Arial"/>
          <w:sz w:val="20"/>
          <w:szCs w:val="20"/>
        </w:rPr>
        <w:t xml:space="preserve"> SKUs in</w:t>
      </w:r>
      <w:r w:rsidR="008A1275">
        <w:rPr>
          <w:rFonts w:ascii="Arial" w:hAnsi="Arial" w:cs="Arial"/>
          <w:sz w:val="20"/>
          <w:szCs w:val="20"/>
        </w:rPr>
        <w:t xml:space="preserve"> </w:t>
      </w:r>
      <w:r w:rsidR="00755635">
        <w:rPr>
          <w:rFonts w:ascii="Arial" w:hAnsi="Arial" w:cs="Arial"/>
          <w:sz w:val="20"/>
          <w:szCs w:val="20"/>
        </w:rPr>
        <w:t>October</w:t>
      </w:r>
    </w:p>
    <w:p w14:paraId="7355DADF" w14:textId="34FFDB0B" w:rsidR="00C9447B" w:rsidRDefault="00C9447B" w:rsidP="00C9447B">
      <w:pPr>
        <w:spacing w:after="0" w:line="240" w:lineRule="auto"/>
        <w:rPr>
          <w:rFonts w:ascii="Arial" w:hAnsi="Arial" w:cs="Arial"/>
          <w:sz w:val="20"/>
          <w:szCs w:val="20"/>
        </w:rPr>
      </w:pPr>
      <w:r w:rsidRPr="00C9447B">
        <w:rPr>
          <w:rFonts w:ascii="Arial" w:hAnsi="Arial" w:cs="Arial"/>
          <w:sz w:val="20"/>
          <w:szCs w:val="20"/>
        </w:rPr>
        <w:t>202</w:t>
      </w:r>
      <w:r w:rsidR="00631612">
        <w:rPr>
          <w:rFonts w:ascii="Arial" w:hAnsi="Arial" w:cs="Arial"/>
          <w:sz w:val="20"/>
          <w:szCs w:val="20"/>
        </w:rPr>
        <w:t>4</w:t>
      </w:r>
      <w:r w:rsidR="00581834">
        <w:rPr>
          <w:rFonts w:ascii="Arial" w:hAnsi="Arial" w:cs="Arial"/>
          <w:sz w:val="20"/>
          <w:szCs w:val="20"/>
        </w:rPr>
        <w:t>.</w:t>
      </w:r>
      <w:r w:rsidR="00631612">
        <w:rPr>
          <w:rFonts w:ascii="Arial" w:hAnsi="Arial" w:cs="Arial"/>
          <w:sz w:val="20"/>
          <w:szCs w:val="20"/>
        </w:rPr>
        <w:t xml:space="preserve"> </w:t>
      </w:r>
      <w:r w:rsidR="00581834">
        <w:rPr>
          <w:rFonts w:ascii="Arial" w:hAnsi="Arial" w:cs="Arial"/>
          <w:sz w:val="20"/>
          <w:szCs w:val="20"/>
        </w:rPr>
        <w:t xml:space="preserve">That number has been very steady all year </w:t>
      </w:r>
      <w:r w:rsidR="00755635">
        <w:rPr>
          <w:rFonts w:ascii="Arial" w:hAnsi="Arial" w:cs="Arial"/>
          <w:sz w:val="20"/>
          <w:szCs w:val="20"/>
        </w:rPr>
        <w:t>and it will be interesting to see where the number will net out once the full holiday set is up</w:t>
      </w:r>
      <w:r w:rsidR="009E62E9">
        <w:rPr>
          <w:rFonts w:ascii="Arial" w:hAnsi="Arial" w:cs="Arial"/>
          <w:sz w:val="20"/>
          <w:szCs w:val="20"/>
        </w:rPr>
        <w:t>.</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758" w:type="dxa"/>
        <w:tblLayout w:type="fixed"/>
        <w:tblLook w:val="04A0" w:firstRow="1" w:lastRow="0" w:firstColumn="1" w:lastColumn="0" w:noHBand="0" w:noVBand="1"/>
      </w:tblPr>
      <w:tblGrid>
        <w:gridCol w:w="1247"/>
        <w:gridCol w:w="686"/>
        <w:gridCol w:w="127"/>
        <w:gridCol w:w="659"/>
        <w:gridCol w:w="787"/>
        <w:gridCol w:w="787"/>
        <w:gridCol w:w="787"/>
        <w:gridCol w:w="786"/>
        <w:gridCol w:w="6"/>
        <w:gridCol w:w="712"/>
        <w:gridCol w:w="6"/>
        <w:gridCol w:w="832"/>
        <w:gridCol w:w="6"/>
        <w:gridCol w:w="801"/>
        <w:gridCol w:w="6"/>
        <w:gridCol w:w="801"/>
        <w:gridCol w:w="6"/>
        <w:gridCol w:w="801"/>
        <w:gridCol w:w="6"/>
        <w:gridCol w:w="909"/>
      </w:tblGrid>
      <w:tr w:rsidR="00983F1A" w14:paraId="156AE0C7" w14:textId="207E4BBC" w:rsidTr="008E39B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shd w:val="clear" w:color="auto" w:fill="17365D" w:themeFill="text2" w:themeFillShade="BF"/>
          </w:tcPr>
          <w:p w14:paraId="4EC178F7" w14:textId="77777777" w:rsidR="00983F1A" w:rsidRDefault="00983F1A" w:rsidP="001A5995">
            <w:pPr>
              <w:pStyle w:val="NoSpacing"/>
              <w:tabs>
                <w:tab w:val="left" w:pos="591"/>
                <w:tab w:val="center" w:pos="3761"/>
              </w:tabs>
              <w:rPr>
                <w:rFonts w:ascii="Arial" w:hAnsi="Arial" w:cs="Arial"/>
                <w:color w:val="FFFFFF" w:themeColor="background1"/>
                <w:sz w:val="18"/>
                <w:szCs w:val="20"/>
              </w:rPr>
            </w:pPr>
            <w:r>
              <w:br w:type="page"/>
            </w:r>
          </w:p>
        </w:tc>
        <w:tc>
          <w:tcPr>
            <w:tcW w:w="813" w:type="dxa"/>
            <w:gridSpan w:val="2"/>
            <w:tcBorders>
              <w:top w:val="nil"/>
              <w:bottom w:val="nil"/>
            </w:tcBorders>
            <w:shd w:val="clear" w:color="auto" w:fill="17365D" w:themeFill="text2" w:themeFillShade="BF"/>
          </w:tcPr>
          <w:p w14:paraId="2786AF79" w14:textId="77777777" w:rsidR="00983F1A" w:rsidRDefault="00983F1A"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8693" w:type="dxa"/>
            <w:gridSpan w:val="17"/>
            <w:tcBorders>
              <w:top w:val="nil"/>
              <w:bottom w:val="nil"/>
            </w:tcBorders>
            <w:shd w:val="clear" w:color="auto" w:fill="17365D" w:themeFill="text2" w:themeFillShade="BF"/>
          </w:tcPr>
          <w:p w14:paraId="3631EAED" w14:textId="0AA99A07" w:rsidR="00983F1A" w:rsidRDefault="00983F1A"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r>
      <w:tr w:rsidR="00094547" w14:paraId="378AF6F6" w14:textId="43B5F4C9" w:rsidTr="008E39B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7" w:type="dxa"/>
            <w:tcBorders>
              <w:top w:val="nil"/>
            </w:tcBorders>
            <w:shd w:val="clear" w:color="auto" w:fill="17365D" w:themeFill="text2" w:themeFillShade="BF"/>
          </w:tcPr>
          <w:p w14:paraId="403DDFA0" w14:textId="77777777" w:rsidR="00094547" w:rsidRPr="00E23819" w:rsidRDefault="00094547" w:rsidP="00094547">
            <w:pPr>
              <w:pStyle w:val="NoSpacing"/>
              <w:jc w:val="right"/>
              <w:rPr>
                <w:rFonts w:ascii="Arial" w:hAnsi="Arial" w:cs="Arial"/>
                <w:color w:val="FFFFFF" w:themeColor="background1"/>
                <w:sz w:val="18"/>
                <w:szCs w:val="20"/>
              </w:rPr>
            </w:pPr>
          </w:p>
        </w:tc>
        <w:tc>
          <w:tcPr>
            <w:tcW w:w="686" w:type="dxa"/>
            <w:tcBorders>
              <w:top w:val="nil"/>
            </w:tcBorders>
            <w:shd w:val="clear" w:color="auto" w:fill="17365D" w:themeFill="text2" w:themeFillShade="BF"/>
          </w:tcPr>
          <w:p w14:paraId="20B8D2D8" w14:textId="77777777" w:rsidR="00094547" w:rsidRPr="00FF4A0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86" w:type="dxa"/>
            <w:gridSpan w:val="2"/>
            <w:tcBorders>
              <w:top w:val="nil"/>
            </w:tcBorders>
            <w:shd w:val="clear" w:color="auto" w:fill="17365D" w:themeFill="text2" w:themeFillShade="BF"/>
          </w:tcPr>
          <w:p w14:paraId="6D7D7A83" w14:textId="77777777" w:rsidR="00094547" w:rsidRPr="00FF4A0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787" w:type="dxa"/>
            <w:tcBorders>
              <w:top w:val="nil"/>
            </w:tcBorders>
            <w:shd w:val="clear" w:color="auto" w:fill="17365D" w:themeFill="text2" w:themeFillShade="BF"/>
          </w:tcPr>
          <w:p w14:paraId="01D1EFD3" w14:textId="10F58706"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787" w:type="dxa"/>
            <w:tcBorders>
              <w:top w:val="nil"/>
            </w:tcBorders>
            <w:shd w:val="clear" w:color="auto" w:fill="17365D" w:themeFill="text2" w:themeFillShade="BF"/>
          </w:tcPr>
          <w:p w14:paraId="27746672" w14:textId="782CA79E"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87" w:type="dxa"/>
            <w:tcBorders>
              <w:top w:val="nil"/>
            </w:tcBorders>
            <w:shd w:val="clear" w:color="auto" w:fill="17365D" w:themeFill="text2" w:themeFillShade="BF"/>
          </w:tcPr>
          <w:p w14:paraId="19074D0E" w14:textId="4E794DE7"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792" w:type="dxa"/>
            <w:gridSpan w:val="2"/>
            <w:tcBorders>
              <w:top w:val="nil"/>
            </w:tcBorders>
            <w:shd w:val="clear" w:color="auto" w:fill="17365D" w:themeFill="text2" w:themeFillShade="BF"/>
          </w:tcPr>
          <w:p w14:paraId="1BD28A28" w14:textId="3AB71AB6"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23</w:t>
            </w:r>
          </w:p>
        </w:tc>
        <w:tc>
          <w:tcPr>
            <w:tcW w:w="718" w:type="dxa"/>
            <w:gridSpan w:val="2"/>
            <w:tcBorders>
              <w:top w:val="nil"/>
            </w:tcBorders>
            <w:shd w:val="clear" w:color="auto" w:fill="17365D" w:themeFill="text2" w:themeFillShade="BF"/>
          </w:tcPr>
          <w:p w14:paraId="3F6C4016" w14:textId="1B2637BF"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23</w:t>
            </w:r>
          </w:p>
        </w:tc>
        <w:tc>
          <w:tcPr>
            <w:tcW w:w="838" w:type="dxa"/>
            <w:gridSpan w:val="2"/>
            <w:tcBorders>
              <w:top w:val="nil"/>
            </w:tcBorders>
            <w:shd w:val="clear" w:color="auto" w:fill="17365D" w:themeFill="text2" w:themeFillShade="BF"/>
          </w:tcPr>
          <w:p w14:paraId="25415A59" w14:textId="30097A24"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23</w:t>
            </w:r>
          </w:p>
        </w:tc>
        <w:tc>
          <w:tcPr>
            <w:tcW w:w="807" w:type="dxa"/>
            <w:gridSpan w:val="2"/>
            <w:tcBorders>
              <w:top w:val="nil"/>
            </w:tcBorders>
            <w:shd w:val="clear" w:color="auto" w:fill="17365D" w:themeFill="text2" w:themeFillShade="BF"/>
          </w:tcPr>
          <w:p w14:paraId="4943DE4F" w14:textId="631CD251"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807" w:type="dxa"/>
            <w:gridSpan w:val="2"/>
            <w:tcBorders>
              <w:top w:val="nil"/>
            </w:tcBorders>
            <w:shd w:val="clear" w:color="auto" w:fill="17365D" w:themeFill="text2" w:themeFillShade="BF"/>
          </w:tcPr>
          <w:p w14:paraId="552436E7" w14:textId="71B9B279"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807" w:type="dxa"/>
            <w:gridSpan w:val="2"/>
            <w:tcBorders>
              <w:top w:val="nil"/>
            </w:tcBorders>
            <w:shd w:val="clear" w:color="auto" w:fill="17365D" w:themeFill="text2" w:themeFillShade="BF"/>
          </w:tcPr>
          <w:p w14:paraId="1564F385" w14:textId="304FFF60"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909" w:type="dxa"/>
            <w:tcBorders>
              <w:top w:val="nil"/>
            </w:tcBorders>
            <w:shd w:val="clear" w:color="auto" w:fill="17365D" w:themeFill="text2" w:themeFillShade="BF"/>
          </w:tcPr>
          <w:p w14:paraId="367CA0C1" w14:textId="1B08629C" w:rsidR="00094547" w:rsidRDefault="00755635"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Oct</w:t>
            </w:r>
            <w:r w:rsidR="00094547">
              <w:rPr>
                <w:rFonts w:ascii="Arial" w:hAnsi="Arial" w:cs="Arial"/>
                <w:b/>
                <w:color w:val="FFFFFF" w:themeColor="background1"/>
                <w:sz w:val="18"/>
                <w:szCs w:val="18"/>
              </w:rPr>
              <w:t xml:space="preserve"> 24</w:t>
            </w:r>
          </w:p>
        </w:tc>
      </w:tr>
      <w:tr w:rsidR="00094547" w:rsidRPr="00752B13" w14:paraId="5AC6947B" w14:textId="662FEEDE" w:rsidTr="008E39B3">
        <w:trPr>
          <w:trHeight w:val="281"/>
        </w:trPr>
        <w:tc>
          <w:tcPr>
            <w:cnfStyle w:val="001000000000" w:firstRow="0" w:lastRow="0" w:firstColumn="1" w:lastColumn="0" w:oddVBand="0" w:evenVBand="0" w:oddHBand="0" w:evenHBand="0" w:firstRowFirstColumn="0" w:firstRowLastColumn="0" w:lastRowFirstColumn="0" w:lastRowLastColumn="0"/>
            <w:tcW w:w="1247" w:type="dxa"/>
            <w:tcBorders>
              <w:bottom w:val="nil"/>
            </w:tcBorders>
            <w:vAlign w:val="center"/>
          </w:tcPr>
          <w:p w14:paraId="69310325" w14:textId="77777777" w:rsidR="00094547" w:rsidRPr="00FB41A2" w:rsidRDefault="00094547" w:rsidP="00094547">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686" w:type="dxa"/>
            <w:tcBorders>
              <w:bottom w:val="nil"/>
            </w:tcBorders>
            <w:vAlign w:val="center"/>
          </w:tcPr>
          <w:p w14:paraId="1852A319" w14:textId="0893541A"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786" w:type="dxa"/>
            <w:gridSpan w:val="2"/>
            <w:tcBorders>
              <w:bottom w:val="nil"/>
            </w:tcBorders>
            <w:vAlign w:val="center"/>
          </w:tcPr>
          <w:p w14:paraId="3547A4D7" w14:textId="7FE5D2F6"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87" w:type="dxa"/>
            <w:tcBorders>
              <w:bottom w:val="nil"/>
            </w:tcBorders>
            <w:vAlign w:val="center"/>
          </w:tcPr>
          <w:p w14:paraId="188B8CC5" w14:textId="077E1EE2"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87" w:type="dxa"/>
            <w:tcBorders>
              <w:bottom w:val="nil"/>
            </w:tcBorders>
            <w:vAlign w:val="center"/>
          </w:tcPr>
          <w:p w14:paraId="0E407B4B" w14:textId="4D64F9C3"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87" w:type="dxa"/>
            <w:tcBorders>
              <w:bottom w:val="nil"/>
            </w:tcBorders>
            <w:vAlign w:val="center"/>
          </w:tcPr>
          <w:p w14:paraId="234D09B9" w14:textId="1A03F49C"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86" w:type="dxa"/>
            <w:tcBorders>
              <w:bottom w:val="nil"/>
            </w:tcBorders>
            <w:vAlign w:val="center"/>
          </w:tcPr>
          <w:p w14:paraId="757FA1E1" w14:textId="4399EA2E"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437</w:t>
            </w:r>
          </w:p>
        </w:tc>
        <w:tc>
          <w:tcPr>
            <w:tcW w:w="718" w:type="dxa"/>
            <w:gridSpan w:val="2"/>
            <w:tcBorders>
              <w:bottom w:val="nil"/>
            </w:tcBorders>
            <w:vAlign w:val="center"/>
          </w:tcPr>
          <w:p w14:paraId="4C02F6D8" w14:textId="29848543" w:rsidR="00094547" w:rsidRPr="00275A41"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838" w:type="dxa"/>
            <w:gridSpan w:val="2"/>
            <w:tcBorders>
              <w:bottom w:val="nil"/>
            </w:tcBorders>
            <w:vAlign w:val="center"/>
          </w:tcPr>
          <w:p w14:paraId="76D58493" w14:textId="7E1EC090" w:rsidR="00094547"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07" w:type="dxa"/>
            <w:gridSpan w:val="2"/>
            <w:tcBorders>
              <w:bottom w:val="nil"/>
            </w:tcBorders>
            <w:vAlign w:val="center"/>
          </w:tcPr>
          <w:p w14:paraId="60C4B9AA" w14:textId="0F48A343" w:rsidR="00094547" w:rsidRPr="00431CC6"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807" w:type="dxa"/>
            <w:gridSpan w:val="2"/>
            <w:tcBorders>
              <w:bottom w:val="nil"/>
            </w:tcBorders>
            <w:vAlign w:val="center"/>
          </w:tcPr>
          <w:p w14:paraId="677DF837" w14:textId="114BB70C" w:rsidR="00094547"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807" w:type="dxa"/>
            <w:gridSpan w:val="2"/>
            <w:tcBorders>
              <w:bottom w:val="nil"/>
            </w:tcBorders>
            <w:vAlign w:val="center"/>
          </w:tcPr>
          <w:p w14:paraId="70B1ED1A" w14:textId="349CDDC8" w:rsidR="00094547" w:rsidRDefault="0043292E"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909" w:type="dxa"/>
            <w:gridSpan w:val="2"/>
            <w:tcBorders>
              <w:bottom w:val="nil"/>
            </w:tcBorders>
            <w:vAlign w:val="center"/>
          </w:tcPr>
          <w:p w14:paraId="57EBA3EC" w14:textId="5B622A79" w:rsidR="00094547" w:rsidRPr="00431CC6" w:rsidRDefault="0043292E"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w:t>
            </w:r>
            <w:r w:rsidR="00755635">
              <w:rPr>
                <w:rFonts w:ascii="Arial" w:hAnsi="Arial" w:cs="Arial"/>
                <w:color w:val="000000" w:themeColor="text1"/>
                <w:sz w:val="18"/>
                <w:szCs w:val="20"/>
              </w:rPr>
              <w:t>5</w:t>
            </w:r>
          </w:p>
        </w:tc>
      </w:tr>
      <w:tr w:rsidR="00094547" w:rsidRPr="00752B13" w14:paraId="45D95AB2" w14:textId="05FC7672" w:rsidTr="008E39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shd w:val="clear" w:color="auto" w:fill="D9D9D9" w:themeFill="background1" w:themeFillShade="D9"/>
            <w:vAlign w:val="center"/>
          </w:tcPr>
          <w:p w14:paraId="0F3B2148" w14:textId="15996EE4" w:rsidR="00094547" w:rsidRPr="00FB41A2" w:rsidRDefault="00094547" w:rsidP="00094547">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686" w:type="dxa"/>
            <w:tcBorders>
              <w:top w:val="nil"/>
              <w:bottom w:val="nil"/>
            </w:tcBorders>
            <w:shd w:val="clear" w:color="auto" w:fill="D9D9D9" w:themeFill="background1" w:themeFillShade="D9"/>
            <w:vAlign w:val="center"/>
          </w:tcPr>
          <w:p w14:paraId="6A787E87" w14:textId="34CA62A7"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786" w:type="dxa"/>
            <w:gridSpan w:val="2"/>
            <w:tcBorders>
              <w:top w:val="nil"/>
              <w:bottom w:val="nil"/>
            </w:tcBorders>
            <w:shd w:val="clear" w:color="auto" w:fill="D9D9D9" w:themeFill="background1" w:themeFillShade="D9"/>
            <w:vAlign w:val="center"/>
          </w:tcPr>
          <w:p w14:paraId="2B9AE3CD" w14:textId="1F2E54FA"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7021F262" w14:textId="0A773F5C"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439BAA19" w14:textId="57F3B73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493E3E61" w14:textId="28B4BE5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786" w:type="dxa"/>
            <w:tcBorders>
              <w:top w:val="nil"/>
              <w:bottom w:val="nil"/>
            </w:tcBorders>
            <w:shd w:val="clear" w:color="auto" w:fill="D9D9D9" w:themeFill="background1" w:themeFillShade="D9"/>
            <w:vAlign w:val="center"/>
          </w:tcPr>
          <w:p w14:paraId="01E1F045" w14:textId="1B3D2561"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Pr="00275A41">
              <w:rPr>
                <w:rFonts w:ascii="Arial" w:hAnsi="Arial" w:cs="Arial"/>
                <w:color w:val="000000" w:themeColor="text1"/>
                <w:sz w:val="18"/>
                <w:szCs w:val="18"/>
              </w:rPr>
              <w:t>%</w:t>
            </w:r>
          </w:p>
        </w:tc>
        <w:tc>
          <w:tcPr>
            <w:tcW w:w="718" w:type="dxa"/>
            <w:gridSpan w:val="2"/>
            <w:tcBorders>
              <w:top w:val="nil"/>
              <w:bottom w:val="nil"/>
            </w:tcBorders>
            <w:shd w:val="clear" w:color="auto" w:fill="D9D9D9" w:themeFill="background1" w:themeFillShade="D9"/>
            <w:vAlign w:val="center"/>
          </w:tcPr>
          <w:p w14:paraId="1A7652FA" w14:textId="251F2AED" w:rsidR="00094547" w:rsidRPr="00275A41"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p>
        </w:tc>
        <w:tc>
          <w:tcPr>
            <w:tcW w:w="838" w:type="dxa"/>
            <w:gridSpan w:val="2"/>
            <w:tcBorders>
              <w:top w:val="nil"/>
              <w:bottom w:val="nil"/>
            </w:tcBorders>
            <w:shd w:val="clear" w:color="auto" w:fill="D9D9D9" w:themeFill="background1" w:themeFillShade="D9"/>
            <w:vAlign w:val="center"/>
          </w:tcPr>
          <w:p w14:paraId="1581C0C0" w14:textId="22BABD8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p>
        </w:tc>
        <w:tc>
          <w:tcPr>
            <w:tcW w:w="807" w:type="dxa"/>
            <w:gridSpan w:val="2"/>
            <w:tcBorders>
              <w:top w:val="nil"/>
              <w:bottom w:val="nil"/>
            </w:tcBorders>
            <w:shd w:val="clear" w:color="auto" w:fill="D9D9D9" w:themeFill="background1" w:themeFillShade="D9"/>
            <w:vAlign w:val="center"/>
          </w:tcPr>
          <w:p w14:paraId="6996C2C8" w14:textId="7A318D6C"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807" w:type="dxa"/>
            <w:gridSpan w:val="2"/>
            <w:tcBorders>
              <w:top w:val="nil"/>
              <w:bottom w:val="nil"/>
            </w:tcBorders>
            <w:shd w:val="clear" w:color="auto" w:fill="D9D9D9" w:themeFill="background1" w:themeFillShade="D9"/>
            <w:vAlign w:val="center"/>
          </w:tcPr>
          <w:p w14:paraId="5EA98CAA" w14:textId="0205EA33"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807" w:type="dxa"/>
            <w:gridSpan w:val="2"/>
            <w:tcBorders>
              <w:top w:val="nil"/>
              <w:bottom w:val="nil"/>
            </w:tcBorders>
            <w:shd w:val="clear" w:color="auto" w:fill="D9D9D9" w:themeFill="background1" w:themeFillShade="D9"/>
            <w:vAlign w:val="center"/>
          </w:tcPr>
          <w:p w14:paraId="1BC245C3" w14:textId="126CEB47"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3292E">
              <w:rPr>
                <w:rFonts w:ascii="Arial" w:hAnsi="Arial" w:cs="Arial"/>
                <w:color w:val="000000" w:themeColor="text1"/>
                <w:sz w:val="18"/>
                <w:szCs w:val="18"/>
              </w:rPr>
              <w:t>1.0</w:t>
            </w:r>
            <w:r>
              <w:rPr>
                <w:rFonts w:ascii="Arial" w:hAnsi="Arial" w:cs="Arial"/>
                <w:color w:val="000000" w:themeColor="text1"/>
                <w:sz w:val="18"/>
                <w:szCs w:val="18"/>
              </w:rPr>
              <w:t>%</w:t>
            </w:r>
          </w:p>
        </w:tc>
        <w:tc>
          <w:tcPr>
            <w:tcW w:w="909" w:type="dxa"/>
            <w:gridSpan w:val="2"/>
            <w:tcBorders>
              <w:top w:val="nil"/>
              <w:bottom w:val="nil"/>
            </w:tcBorders>
            <w:shd w:val="clear" w:color="auto" w:fill="D9D9D9" w:themeFill="background1" w:themeFillShade="D9"/>
            <w:vAlign w:val="center"/>
          </w:tcPr>
          <w:p w14:paraId="4158A17F" w14:textId="20CBA9DE"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3292E">
              <w:rPr>
                <w:rFonts w:ascii="Arial" w:hAnsi="Arial" w:cs="Arial"/>
                <w:color w:val="000000" w:themeColor="text1"/>
                <w:sz w:val="18"/>
                <w:szCs w:val="18"/>
              </w:rPr>
              <w:t>0.</w:t>
            </w:r>
            <w:r w:rsidR="00755635">
              <w:rPr>
                <w:rFonts w:ascii="Arial" w:hAnsi="Arial" w:cs="Arial"/>
                <w:color w:val="000000" w:themeColor="text1"/>
                <w:sz w:val="18"/>
                <w:szCs w:val="18"/>
              </w:rPr>
              <w:t>5</w:t>
            </w:r>
            <w:r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3BD88C7" w14:textId="73A98531" w:rsidR="004F2EE0" w:rsidRPr="00786E3E" w:rsidRDefault="001D42B8" w:rsidP="001D42B8">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p>
    <w:p w14:paraId="7BDFF32E" w14:textId="77777777" w:rsidR="007E7040" w:rsidRDefault="007E7040" w:rsidP="007A2A81">
      <w:pPr>
        <w:pStyle w:val="NoSpacing"/>
        <w:rPr>
          <w:rFonts w:ascii="Arial" w:hAnsi="Arial" w:cs="Arial"/>
          <w:b/>
          <w:color w:val="595959" w:themeColor="text1" w:themeTint="A6"/>
          <w:sz w:val="24"/>
          <w:szCs w:val="24"/>
        </w:rPr>
      </w:pPr>
      <w:bookmarkStart w:id="8" w:name="_Hlk76976129"/>
    </w:p>
    <w:p w14:paraId="7D2DECE6" w14:textId="7472B960"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55D7936B" w14:textId="6591EC06" w:rsidR="00451808" w:rsidRDefault="00755635" w:rsidP="00F71B42">
      <w:pPr>
        <w:pStyle w:val="NoSpacing"/>
        <w:rPr>
          <w:rFonts w:ascii="Arial" w:hAnsi="Arial" w:cs="Arial"/>
          <w:sz w:val="20"/>
          <w:szCs w:val="20"/>
        </w:rPr>
      </w:pPr>
      <w:r>
        <w:rPr>
          <w:rFonts w:ascii="Arial" w:hAnsi="Arial" w:cs="Arial"/>
          <w:sz w:val="20"/>
          <w:szCs w:val="20"/>
        </w:rPr>
        <w:t>Most proteins grew year-over-year dollar sales in October</w:t>
      </w:r>
      <w:r w:rsidR="0089757F">
        <w:rPr>
          <w:rFonts w:ascii="Arial" w:hAnsi="Arial" w:cs="Arial"/>
          <w:sz w:val="20"/>
          <w:szCs w:val="20"/>
        </w:rPr>
        <w:t xml:space="preserve">, led by </w:t>
      </w:r>
      <w:r w:rsidR="00FE7C73">
        <w:rPr>
          <w:rFonts w:ascii="Arial" w:hAnsi="Arial" w:cs="Arial"/>
          <w:sz w:val="20"/>
          <w:szCs w:val="20"/>
        </w:rPr>
        <w:t>beef and lamb</w:t>
      </w:r>
      <w:r w:rsidR="0089757F">
        <w:rPr>
          <w:rFonts w:ascii="Arial" w:hAnsi="Arial" w:cs="Arial"/>
          <w:sz w:val="20"/>
          <w:szCs w:val="20"/>
        </w:rPr>
        <w:t>.</w:t>
      </w:r>
      <w:r w:rsidR="00581834">
        <w:rPr>
          <w:rFonts w:ascii="Arial" w:hAnsi="Arial" w:cs="Arial"/>
          <w:sz w:val="20"/>
          <w:szCs w:val="20"/>
        </w:rPr>
        <w:t xml:space="preserve"> </w:t>
      </w:r>
      <w:r w:rsidR="0089757F">
        <w:rPr>
          <w:rFonts w:ascii="Arial" w:hAnsi="Arial" w:cs="Arial"/>
          <w:sz w:val="20"/>
          <w:szCs w:val="20"/>
        </w:rPr>
        <w:t xml:space="preserve">While inflation played a role, beef also grew pound sales by </w:t>
      </w:r>
      <w:r w:rsidR="00FE7C73">
        <w:rPr>
          <w:rFonts w:ascii="Arial" w:hAnsi="Arial" w:cs="Arial"/>
          <w:sz w:val="20"/>
          <w:szCs w:val="20"/>
        </w:rPr>
        <w:t>7.5</w:t>
      </w:r>
      <w:r w:rsidR="0089757F">
        <w:rPr>
          <w:rFonts w:ascii="Arial" w:hAnsi="Arial" w:cs="Arial"/>
          <w:sz w:val="20"/>
          <w:szCs w:val="20"/>
        </w:rPr>
        <w:t>% in October, which was well ahead of the gains seen in chicken and pork. Lamb, at +</w:t>
      </w:r>
      <w:r w:rsidR="00FE7C73">
        <w:rPr>
          <w:rFonts w:ascii="Arial" w:hAnsi="Arial" w:cs="Arial"/>
          <w:sz w:val="20"/>
          <w:szCs w:val="20"/>
        </w:rPr>
        <w:t>11.5</w:t>
      </w:r>
      <w:r w:rsidR="0089757F">
        <w:rPr>
          <w:rFonts w:ascii="Arial" w:hAnsi="Arial" w:cs="Arial"/>
          <w:sz w:val="20"/>
          <w:szCs w:val="20"/>
        </w:rPr>
        <w:t xml:space="preserve">%, had the highest growth in October in comparison to October 2023. </w:t>
      </w:r>
      <w:r w:rsidR="00581834">
        <w:rPr>
          <w:rFonts w:ascii="Arial" w:hAnsi="Arial" w:cs="Arial"/>
          <w:sz w:val="20"/>
          <w:szCs w:val="20"/>
        </w:rPr>
        <w:t xml:space="preserve">In the full-year view, lamb </w:t>
      </w:r>
      <w:r w:rsidR="0089757F">
        <w:rPr>
          <w:rFonts w:ascii="Arial" w:hAnsi="Arial" w:cs="Arial"/>
          <w:sz w:val="20"/>
          <w:szCs w:val="20"/>
        </w:rPr>
        <w:t xml:space="preserve">also had </w:t>
      </w:r>
      <w:r w:rsidR="00581834">
        <w:rPr>
          <w:rFonts w:ascii="Arial" w:hAnsi="Arial" w:cs="Arial"/>
          <w:sz w:val="20"/>
          <w:szCs w:val="20"/>
        </w:rPr>
        <w:t xml:space="preserve">the highest year-on-year pound increases, at +14.4%, followed by exotic (mostly bison), and beef. </w:t>
      </w:r>
    </w:p>
    <w:p w14:paraId="3C5907D2" w14:textId="77777777" w:rsidR="00525982" w:rsidRDefault="00525982" w:rsidP="00F71B42">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107"/>
        <w:gridCol w:w="827"/>
        <w:gridCol w:w="1333"/>
        <w:gridCol w:w="1333"/>
      </w:tblGrid>
      <w:tr w:rsidR="002C18CE" w:rsidRPr="0003007F" w14:paraId="17BFBC6C"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54" w:type="dxa"/>
            <w:gridSpan w:val="4"/>
            <w:tcBorders>
              <w:top w:val="nil"/>
              <w:bottom w:val="nil"/>
            </w:tcBorders>
            <w:shd w:val="clear" w:color="auto" w:fill="17365D" w:themeFill="text2" w:themeFillShade="BF"/>
          </w:tcPr>
          <w:p w14:paraId="64494292" w14:textId="4E700D5C" w:rsidR="002C18CE" w:rsidRPr="00AB1306" w:rsidRDefault="002C18CE" w:rsidP="00FB48FE">
            <w:pPr>
              <w:pStyle w:val="NoSpacing"/>
              <w:jc w:val="right"/>
              <w:rPr>
                <w:rFonts w:ascii="Arial" w:hAnsi="Arial" w:cs="Arial"/>
                <w:color w:val="FFFFFF" w:themeColor="background1"/>
                <w:sz w:val="18"/>
                <w:szCs w:val="18"/>
              </w:rPr>
            </w:pPr>
            <w:bookmarkStart w:id="9" w:name="_Hlk137219531"/>
            <w:r>
              <w:rPr>
                <w:rFonts w:ascii="Arial" w:hAnsi="Arial" w:cs="Arial"/>
                <w:color w:val="FFFFFF" w:themeColor="background1"/>
                <w:sz w:val="18"/>
                <w:szCs w:val="18"/>
              </w:rPr>
              <w:t xml:space="preserve">  </w:t>
            </w:r>
            <w:r w:rsidR="00755635">
              <w:rPr>
                <w:rFonts w:ascii="Arial" w:hAnsi="Arial" w:cs="Arial"/>
                <w:color w:val="FFFFFF" w:themeColor="background1"/>
                <w:sz w:val="18"/>
                <w:szCs w:val="18"/>
              </w:rPr>
              <w:t xml:space="preserve">October </w:t>
            </w:r>
            <w:r w:rsidR="001F639F">
              <w:rPr>
                <w:rFonts w:ascii="Arial" w:hAnsi="Arial" w:cs="Arial"/>
                <w:color w:val="FFFFFF" w:themeColor="background1"/>
                <w:sz w:val="18"/>
                <w:szCs w:val="18"/>
              </w:rPr>
              <w:t>2024</w:t>
            </w:r>
          </w:p>
        </w:tc>
        <w:tc>
          <w:tcPr>
            <w:tcW w:w="3493" w:type="dxa"/>
            <w:gridSpan w:val="4"/>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3"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2E6A43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34" w:type="dxa"/>
            <w:gridSpan w:val="2"/>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333"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094547" w:rsidRPr="00094547" w14:paraId="0DF0D3D5" w14:textId="77777777" w:rsidTr="00094547">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094547" w:rsidRPr="00FB41A2" w:rsidRDefault="00094547" w:rsidP="00094547">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27A355EF"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FE7C73">
              <w:rPr>
                <w:rFonts w:ascii="Arial" w:hAnsi="Arial" w:cs="Arial"/>
                <w:b/>
                <w:bCs/>
                <w:color w:val="000000" w:themeColor="text1"/>
                <w:sz w:val="18"/>
                <w:szCs w:val="18"/>
              </w:rPr>
              <w:t>7.1</w:t>
            </w:r>
            <w:r w:rsidRPr="00FB41A2">
              <w:rPr>
                <w:rFonts w:ascii="Arial" w:hAnsi="Arial" w:cs="Arial"/>
                <w:b/>
                <w:bCs/>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25CAEDB6" w14:textId="685F5A82"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E7C73">
              <w:rPr>
                <w:rFonts w:ascii="Arial" w:hAnsi="Arial" w:cs="Arial"/>
                <w:b/>
                <w:bCs/>
                <w:color w:val="000000" w:themeColor="text1"/>
                <w:sz w:val="18"/>
                <w:szCs w:val="18"/>
              </w:rPr>
              <w:t>8.0</w:t>
            </w:r>
            <w:r w:rsidRPr="00FB41A2">
              <w:rPr>
                <w:rFonts w:ascii="Arial" w:hAnsi="Arial" w:cs="Arial"/>
                <w:b/>
                <w:bCs/>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40482EC7"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E7C73">
              <w:rPr>
                <w:rFonts w:ascii="Arial" w:hAnsi="Arial" w:cs="Arial"/>
                <w:b/>
                <w:bCs/>
                <w:color w:val="000000" w:themeColor="text1"/>
                <w:sz w:val="18"/>
                <w:szCs w:val="18"/>
              </w:rPr>
              <w:t>4.9</w:t>
            </w:r>
            <w:r w:rsidRPr="00FB41A2">
              <w:rPr>
                <w:rFonts w:ascii="Arial" w:hAnsi="Arial" w:cs="Arial"/>
                <w:b/>
                <w:bCs/>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3C4770B6" w14:textId="5C41D3DF"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Total fresh meat</w:t>
            </w:r>
          </w:p>
        </w:tc>
        <w:tc>
          <w:tcPr>
            <w:tcW w:w="934" w:type="dxa"/>
            <w:gridSpan w:val="2"/>
            <w:tcBorders>
              <w:top w:val="nil"/>
              <w:left w:val="nil"/>
              <w:bottom w:val="nil"/>
              <w:right w:val="nil"/>
            </w:tcBorders>
            <w:shd w:val="clear" w:color="auto" w:fill="auto"/>
            <w:vAlign w:val="center"/>
          </w:tcPr>
          <w:p w14:paraId="1BBBDBF3" w14:textId="5EA2B7EE"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3308E4">
              <w:rPr>
                <w:rFonts w:ascii="Arial" w:hAnsi="Arial" w:cs="Arial"/>
                <w:b/>
                <w:bCs/>
                <w:color w:val="000000" w:themeColor="text1"/>
                <w:sz w:val="18"/>
                <w:szCs w:val="18"/>
              </w:rPr>
              <w:t>7</w:t>
            </w:r>
            <w:r w:rsidR="00F862A0">
              <w:rPr>
                <w:rFonts w:ascii="Arial" w:hAnsi="Arial" w:cs="Arial"/>
                <w:b/>
                <w:bCs/>
                <w:color w:val="000000" w:themeColor="text1"/>
                <w:sz w:val="18"/>
                <w:szCs w:val="18"/>
              </w:rPr>
              <w:t>2.2</w:t>
            </w:r>
            <w:r w:rsidRPr="00FB41A2">
              <w:rPr>
                <w:rFonts w:ascii="Arial" w:hAnsi="Arial" w:cs="Arial"/>
                <w:b/>
                <w:bCs/>
                <w:color w:val="000000" w:themeColor="text1"/>
                <w:sz w:val="18"/>
                <w:szCs w:val="18"/>
              </w:rPr>
              <w:t>B</w:t>
            </w:r>
          </w:p>
        </w:tc>
        <w:tc>
          <w:tcPr>
            <w:tcW w:w="1333" w:type="dxa"/>
            <w:tcBorders>
              <w:top w:val="nil"/>
              <w:left w:val="nil"/>
              <w:bottom w:val="nil"/>
              <w:right w:val="nil"/>
            </w:tcBorders>
            <w:shd w:val="clear" w:color="auto" w:fill="auto"/>
            <w:vAlign w:val="center"/>
          </w:tcPr>
          <w:p w14:paraId="10F1A6FD" w14:textId="55BE9E1C"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F862A0">
              <w:rPr>
                <w:rFonts w:ascii="Arial" w:hAnsi="Arial" w:cs="Arial"/>
                <w:b/>
                <w:bCs/>
                <w:color w:val="000000" w:themeColor="text1"/>
                <w:sz w:val="18"/>
                <w:szCs w:val="18"/>
              </w:rPr>
              <w:t>6.4</w:t>
            </w:r>
            <w:r w:rsidRPr="00FB41A2">
              <w:rPr>
                <w:rFonts w:ascii="Arial" w:hAnsi="Arial" w:cs="Arial"/>
                <w:b/>
                <w:bCs/>
                <w:color w:val="000000" w:themeColor="text1"/>
                <w:sz w:val="18"/>
                <w:szCs w:val="18"/>
              </w:rPr>
              <w:t>%</w:t>
            </w:r>
          </w:p>
        </w:tc>
        <w:tc>
          <w:tcPr>
            <w:tcW w:w="1333" w:type="dxa"/>
            <w:tcBorders>
              <w:top w:val="nil"/>
              <w:left w:val="nil"/>
              <w:bottom w:val="nil"/>
            </w:tcBorders>
            <w:shd w:val="clear" w:color="auto" w:fill="auto"/>
            <w:vAlign w:val="center"/>
          </w:tcPr>
          <w:p w14:paraId="219FE3BF" w14:textId="2EE8500F" w:rsidR="00094547" w:rsidRPr="00094547"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94547">
              <w:rPr>
                <w:rFonts w:ascii="Arial" w:hAnsi="Arial" w:cs="Arial"/>
                <w:b/>
                <w:color w:val="000000" w:themeColor="text1"/>
                <w:sz w:val="18"/>
                <w:szCs w:val="18"/>
              </w:rPr>
              <w:t>+</w:t>
            </w:r>
            <w:r w:rsidR="00F862A0">
              <w:rPr>
                <w:rFonts w:ascii="Arial" w:hAnsi="Arial" w:cs="Arial"/>
                <w:b/>
                <w:color w:val="000000" w:themeColor="text1"/>
                <w:sz w:val="18"/>
                <w:szCs w:val="18"/>
              </w:rPr>
              <w:t>2.9</w:t>
            </w:r>
            <w:r w:rsidRPr="00094547">
              <w:rPr>
                <w:rFonts w:ascii="Arial" w:hAnsi="Arial" w:cs="Arial"/>
                <w:b/>
                <w:color w:val="000000" w:themeColor="text1"/>
                <w:sz w:val="18"/>
                <w:szCs w:val="18"/>
              </w:rPr>
              <w:t>%</w:t>
            </w:r>
          </w:p>
        </w:tc>
      </w:tr>
      <w:tr w:rsidR="00094547" w:rsidRPr="002A3B9B" w14:paraId="5325D920" w14:textId="77777777" w:rsidTr="000945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2F7E0127"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FE7C73">
              <w:rPr>
                <w:rFonts w:ascii="Arial" w:hAnsi="Arial" w:cs="Arial"/>
                <w:color w:val="000000" w:themeColor="text1"/>
                <w:sz w:val="18"/>
                <w:szCs w:val="18"/>
              </w:rPr>
              <w:t>3.9</w:t>
            </w:r>
            <w:r w:rsidRPr="00D5034D">
              <w:rPr>
                <w:rFonts w:ascii="Arial" w:hAnsi="Arial" w:cs="Arial"/>
                <w:color w:val="000000" w:themeColor="text1"/>
                <w:sz w:val="18"/>
                <w:szCs w:val="18"/>
              </w:rPr>
              <w:t>B</w:t>
            </w:r>
          </w:p>
        </w:tc>
        <w:tc>
          <w:tcPr>
            <w:tcW w:w="1075" w:type="dxa"/>
            <w:gridSpan w:val="2"/>
            <w:tcBorders>
              <w:top w:val="nil"/>
              <w:bottom w:val="nil"/>
            </w:tcBorders>
            <w:shd w:val="clear" w:color="auto" w:fill="D9D9D9" w:themeFill="background1" w:themeFillShade="D9"/>
            <w:vAlign w:val="center"/>
          </w:tcPr>
          <w:p w14:paraId="2D628009" w14:textId="7DBCDDD4"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A73BA">
              <w:rPr>
                <w:rFonts w:ascii="Arial" w:hAnsi="Arial" w:cs="Arial"/>
                <w:color w:val="000000" w:themeColor="text1"/>
                <w:sz w:val="18"/>
                <w:szCs w:val="18"/>
              </w:rPr>
              <w:t>+</w:t>
            </w:r>
            <w:r w:rsidR="00755635">
              <w:rPr>
                <w:rFonts w:ascii="Arial" w:hAnsi="Arial" w:cs="Arial"/>
                <w:color w:val="000000" w:themeColor="text1"/>
                <w:sz w:val="18"/>
                <w:szCs w:val="18"/>
              </w:rPr>
              <w:t>1</w:t>
            </w:r>
            <w:r w:rsidR="00FE7C73">
              <w:rPr>
                <w:rFonts w:ascii="Arial" w:hAnsi="Arial" w:cs="Arial"/>
                <w:color w:val="000000" w:themeColor="text1"/>
                <w:sz w:val="18"/>
                <w:szCs w:val="18"/>
              </w:rPr>
              <w:t>1.2</w:t>
            </w:r>
            <w:r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6D6AAF1" w14:textId="1FC41345"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A6C6B">
              <w:rPr>
                <w:rFonts w:ascii="Arial" w:hAnsi="Arial" w:cs="Arial"/>
                <w:color w:val="000000" w:themeColor="text1"/>
                <w:sz w:val="18"/>
                <w:szCs w:val="18"/>
              </w:rPr>
              <w:t>+</w:t>
            </w:r>
            <w:r w:rsidR="00FE7C73">
              <w:rPr>
                <w:rFonts w:ascii="Arial" w:hAnsi="Arial" w:cs="Arial"/>
                <w:color w:val="000000" w:themeColor="text1"/>
                <w:sz w:val="18"/>
                <w:szCs w:val="18"/>
              </w:rPr>
              <w:t>7.5</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468B8F0" w14:textId="50F6BFEF" w:rsidR="00094547" w:rsidRPr="00FB41A2"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beef</w:t>
            </w:r>
          </w:p>
        </w:tc>
        <w:tc>
          <w:tcPr>
            <w:tcW w:w="934" w:type="dxa"/>
            <w:gridSpan w:val="2"/>
            <w:tcBorders>
              <w:top w:val="nil"/>
              <w:bottom w:val="nil"/>
            </w:tcBorders>
            <w:shd w:val="clear" w:color="auto" w:fill="D9D9D9" w:themeFill="background1" w:themeFillShade="D9"/>
            <w:vAlign w:val="center"/>
          </w:tcPr>
          <w:p w14:paraId="208BC3C7" w14:textId="142B1AF5"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F862A0">
              <w:rPr>
                <w:rFonts w:ascii="Arial" w:hAnsi="Arial" w:cs="Arial"/>
                <w:color w:val="000000" w:themeColor="text1"/>
                <w:sz w:val="18"/>
                <w:szCs w:val="18"/>
              </w:rPr>
              <w:t>39.5</w:t>
            </w:r>
            <w:r w:rsidRPr="00D5034D">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2CE2750C" w14:textId="1B454E98"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9.2</w:t>
            </w:r>
            <w:r w:rsidRPr="00C779D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06B11957" w14:textId="7D21E363"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F862A0">
              <w:rPr>
                <w:rFonts w:ascii="Arial" w:hAnsi="Arial" w:cs="Arial"/>
                <w:color w:val="000000" w:themeColor="text1"/>
                <w:sz w:val="18"/>
                <w:szCs w:val="18"/>
              </w:rPr>
              <w:t>3.5</w:t>
            </w:r>
            <w:r w:rsidRPr="00931A93">
              <w:rPr>
                <w:rFonts w:ascii="Arial" w:hAnsi="Arial" w:cs="Arial"/>
                <w:color w:val="000000" w:themeColor="text1"/>
                <w:sz w:val="18"/>
                <w:szCs w:val="18"/>
              </w:rPr>
              <w:t>%</w:t>
            </w:r>
          </w:p>
        </w:tc>
      </w:tr>
      <w:tr w:rsidR="00094547" w:rsidRPr="002A3B9B" w14:paraId="290F85FA" w14:textId="77777777" w:rsidTr="0009454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5F404E16" w:rsidR="00094547" w:rsidRPr="00D5034D"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FE7C73">
              <w:rPr>
                <w:rFonts w:ascii="Arial" w:hAnsi="Arial" w:cs="Arial"/>
                <w:color w:val="000000" w:themeColor="text1"/>
                <w:sz w:val="18"/>
                <w:szCs w:val="18"/>
              </w:rPr>
              <w:t>1.9</w:t>
            </w:r>
            <w:r w:rsidRPr="00D5034D">
              <w:rPr>
                <w:rFonts w:ascii="Arial" w:hAnsi="Arial" w:cs="Arial"/>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5B5F3125" w14:textId="12E83159" w:rsidR="00094547" w:rsidRPr="00D5034D"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26DA">
              <w:rPr>
                <w:rFonts w:ascii="Arial" w:hAnsi="Arial" w:cs="Arial"/>
                <w:color w:val="000000" w:themeColor="text1"/>
                <w:sz w:val="18"/>
                <w:szCs w:val="18"/>
              </w:rPr>
              <w:t>+</w:t>
            </w:r>
            <w:r w:rsidR="00FE7C73">
              <w:rPr>
                <w:rFonts w:ascii="Arial" w:hAnsi="Arial" w:cs="Arial"/>
                <w:color w:val="000000" w:themeColor="text1"/>
                <w:sz w:val="18"/>
                <w:szCs w:val="18"/>
              </w:rPr>
              <w:t>5.5</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6DED3965" w14:textId="38452165" w:rsidR="00094547" w:rsidRPr="00D5034D"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6C6B">
              <w:rPr>
                <w:rFonts w:ascii="Arial" w:hAnsi="Arial" w:cs="Arial"/>
                <w:color w:val="000000" w:themeColor="text1"/>
                <w:sz w:val="18"/>
                <w:szCs w:val="18"/>
              </w:rPr>
              <w:t>+</w:t>
            </w:r>
            <w:r w:rsidR="00FE7C73">
              <w:rPr>
                <w:rFonts w:ascii="Arial" w:hAnsi="Arial" w:cs="Arial"/>
                <w:color w:val="000000" w:themeColor="text1"/>
                <w:sz w:val="18"/>
                <w:szCs w:val="18"/>
              </w:rPr>
              <w:t>3.6</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BFD98B" w14:textId="7192D2A7"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chicken</w:t>
            </w:r>
          </w:p>
        </w:tc>
        <w:tc>
          <w:tcPr>
            <w:tcW w:w="934" w:type="dxa"/>
            <w:gridSpan w:val="2"/>
            <w:tcBorders>
              <w:top w:val="nil"/>
              <w:left w:val="nil"/>
              <w:bottom w:val="nil"/>
              <w:right w:val="nil"/>
            </w:tcBorders>
            <w:shd w:val="clear" w:color="auto" w:fill="auto"/>
            <w:vAlign w:val="center"/>
          </w:tcPr>
          <w:p w14:paraId="1B097B18" w14:textId="03289709"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F862A0">
              <w:rPr>
                <w:rFonts w:ascii="Arial" w:hAnsi="Arial" w:cs="Arial"/>
                <w:color w:val="000000" w:themeColor="text1"/>
                <w:sz w:val="18"/>
                <w:szCs w:val="18"/>
              </w:rPr>
              <w:t>19.3</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vAlign w:val="center"/>
          </w:tcPr>
          <w:p w14:paraId="55C41A24" w14:textId="62C581E6"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3.3</w:t>
            </w:r>
            <w:r w:rsidRPr="00C779DA">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F2BA96C" w14:textId="7029FC8B"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F862A0">
              <w:rPr>
                <w:rFonts w:ascii="Arial" w:hAnsi="Arial" w:cs="Arial"/>
                <w:color w:val="000000" w:themeColor="text1"/>
                <w:sz w:val="18"/>
                <w:szCs w:val="18"/>
              </w:rPr>
              <w:t>3.1</w:t>
            </w:r>
            <w:r w:rsidRPr="00931A93">
              <w:rPr>
                <w:rFonts w:ascii="Arial" w:hAnsi="Arial" w:cs="Arial"/>
                <w:color w:val="000000" w:themeColor="text1"/>
                <w:sz w:val="18"/>
                <w:szCs w:val="18"/>
              </w:rPr>
              <w:t>%</w:t>
            </w:r>
          </w:p>
        </w:tc>
      </w:tr>
      <w:tr w:rsidR="00094547" w:rsidRPr="002A3B9B" w14:paraId="2438D659" w14:textId="77777777" w:rsidTr="000945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64B544CE"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pork</w:t>
            </w:r>
          </w:p>
        </w:tc>
        <w:tc>
          <w:tcPr>
            <w:tcW w:w="990" w:type="dxa"/>
            <w:gridSpan w:val="2"/>
            <w:tcBorders>
              <w:top w:val="nil"/>
              <w:bottom w:val="nil"/>
            </w:tcBorders>
            <w:shd w:val="clear" w:color="auto" w:fill="D9D9D9" w:themeFill="background1" w:themeFillShade="D9"/>
            <w:vAlign w:val="center"/>
          </w:tcPr>
          <w:p w14:paraId="6020F3E9" w14:textId="65234E20"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FE7C73">
              <w:rPr>
                <w:rFonts w:ascii="Arial" w:hAnsi="Arial" w:cs="Arial"/>
                <w:color w:val="000000" w:themeColor="text1"/>
                <w:sz w:val="18"/>
                <w:szCs w:val="18"/>
              </w:rPr>
              <w:t>809</w:t>
            </w:r>
            <w:r w:rsidRPr="00315FEA">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3A2AA7" w14:textId="43C6CB77"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26DA">
              <w:rPr>
                <w:rFonts w:ascii="Arial" w:hAnsi="Arial" w:cs="Arial"/>
                <w:color w:val="000000" w:themeColor="text1"/>
                <w:sz w:val="18"/>
                <w:szCs w:val="18"/>
              </w:rPr>
              <w:t>+</w:t>
            </w:r>
            <w:r w:rsidR="00FE7C73">
              <w:rPr>
                <w:rFonts w:ascii="Arial" w:hAnsi="Arial" w:cs="Arial"/>
                <w:color w:val="000000" w:themeColor="text1"/>
                <w:sz w:val="18"/>
                <w:szCs w:val="18"/>
              </w:rPr>
              <w:t>4.8</w:t>
            </w:r>
            <w:r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6384D0C3"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A6C6B">
              <w:rPr>
                <w:rFonts w:ascii="Arial" w:hAnsi="Arial" w:cs="Arial"/>
                <w:color w:val="000000" w:themeColor="text1"/>
                <w:sz w:val="18"/>
                <w:szCs w:val="18"/>
              </w:rPr>
              <w:t>+</w:t>
            </w:r>
            <w:r w:rsidR="00FE7C73">
              <w:rPr>
                <w:rFonts w:ascii="Arial" w:hAnsi="Arial" w:cs="Arial"/>
                <w:color w:val="000000" w:themeColor="text1"/>
                <w:sz w:val="18"/>
                <w:szCs w:val="18"/>
              </w:rPr>
              <w:t>6.1</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0D22FE7" w14:textId="5B13D9B1" w:rsidR="00094547" w:rsidRPr="00FB41A2"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pork</w:t>
            </w:r>
          </w:p>
        </w:tc>
        <w:tc>
          <w:tcPr>
            <w:tcW w:w="934" w:type="dxa"/>
            <w:gridSpan w:val="2"/>
            <w:tcBorders>
              <w:top w:val="nil"/>
              <w:bottom w:val="nil"/>
            </w:tcBorders>
            <w:shd w:val="clear" w:color="auto" w:fill="D9D9D9" w:themeFill="background1" w:themeFillShade="D9"/>
            <w:vAlign w:val="center"/>
          </w:tcPr>
          <w:p w14:paraId="6A84691D" w14:textId="15A52A99"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F862A0">
              <w:rPr>
                <w:rFonts w:ascii="Arial" w:hAnsi="Arial" w:cs="Arial"/>
                <w:color w:val="000000" w:themeColor="text1"/>
                <w:sz w:val="18"/>
                <w:szCs w:val="18"/>
              </w:rPr>
              <w:t>8.4</w:t>
            </w:r>
            <w:r w:rsidRPr="005C6FA8">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74C16036" w14:textId="23732B61"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3.4</w:t>
            </w:r>
            <w:r w:rsidRPr="00C779D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9950049" w14:textId="38FC1672" w:rsidR="00094547" w:rsidRPr="00FB41A2" w:rsidRDefault="00F862A0"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08E4">
              <w:rPr>
                <w:rFonts w:ascii="Arial" w:hAnsi="Arial" w:cs="Arial"/>
                <w:color w:val="000000" w:themeColor="text1"/>
                <w:sz w:val="18"/>
                <w:szCs w:val="18"/>
              </w:rPr>
              <w:t>0.</w:t>
            </w:r>
            <w:r>
              <w:rPr>
                <w:rFonts w:ascii="Arial" w:hAnsi="Arial" w:cs="Arial"/>
                <w:color w:val="000000" w:themeColor="text1"/>
                <w:sz w:val="18"/>
                <w:szCs w:val="18"/>
              </w:rPr>
              <w:t>7</w:t>
            </w:r>
            <w:r w:rsidR="00094547" w:rsidRPr="00931A93">
              <w:rPr>
                <w:rFonts w:ascii="Arial" w:hAnsi="Arial" w:cs="Arial"/>
                <w:color w:val="000000" w:themeColor="text1"/>
                <w:sz w:val="18"/>
                <w:szCs w:val="18"/>
              </w:rPr>
              <w:t>%</w:t>
            </w:r>
          </w:p>
        </w:tc>
      </w:tr>
      <w:tr w:rsidR="00094547" w:rsidRPr="002A3B9B" w14:paraId="72538FA9" w14:textId="77777777" w:rsidTr="0009454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1C79B102"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turkey</w:t>
            </w:r>
          </w:p>
        </w:tc>
        <w:tc>
          <w:tcPr>
            <w:tcW w:w="990" w:type="dxa"/>
            <w:gridSpan w:val="2"/>
            <w:tcBorders>
              <w:top w:val="nil"/>
              <w:left w:val="nil"/>
              <w:bottom w:val="nil"/>
              <w:right w:val="nil"/>
            </w:tcBorders>
            <w:shd w:val="clear" w:color="auto" w:fill="auto"/>
            <w:vAlign w:val="center"/>
          </w:tcPr>
          <w:p w14:paraId="6677899D" w14:textId="01257095"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FE7C73">
              <w:rPr>
                <w:rFonts w:ascii="Arial" w:hAnsi="Arial" w:cs="Arial"/>
                <w:color w:val="000000" w:themeColor="text1"/>
                <w:sz w:val="18"/>
                <w:szCs w:val="18"/>
              </w:rPr>
              <w:t>290</w:t>
            </w:r>
            <w:r w:rsidRPr="00315FEA">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12E72FD8" w14:textId="18E883AC" w:rsidR="00094547" w:rsidRPr="00FB41A2" w:rsidRDefault="00755635"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4.1</w:t>
            </w:r>
            <w:r w:rsidR="00094547"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4A2322D9" w14:textId="29252465" w:rsidR="00094547" w:rsidRPr="00FB41A2" w:rsidRDefault="00755635"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4.1</w:t>
            </w:r>
            <w:r w:rsidR="00094547"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FCAD35" w14:textId="60E91D91"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turkey</w:t>
            </w:r>
          </w:p>
        </w:tc>
        <w:tc>
          <w:tcPr>
            <w:tcW w:w="934" w:type="dxa"/>
            <w:gridSpan w:val="2"/>
            <w:tcBorders>
              <w:top w:val="nil"/>
              <w:left w:val="nil"/>
              <w:bottom w:val="nil"/>
              <w:right w:val="nil"/>
            </w:tcBorders>
            <w:shd w:val="clear" w:color="auto" w:fill="auto"/>
            <w:vAlign w:val="center"/>
          </w:tcPr>
          <w:p w14:paraId="388DA3F2" w14:textId="14F4A6E9"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3308E4">
              <w:rPr>
                <w:rFonts w:ascii="Arial" w:hAnsi="Arial" w:cs="Arial"/>
                <w:color w:val="000000" w:themeColor="text1"/>
                <w:sz w:val="18"/>
                <w:szCs w:val="18"/>
              </w:rPr>
              <w:t>3.3</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vAlign w:val="center"/>
          </w:tcPr>
          <w:p w14:paraId="2CD73EA7" w14:textId="2E79288F"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4.1</w:t>
            </w:r>
            <w:r w:rsidRPr="00C779DA">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88B47EF" w14:textId="54023127"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F862A0">
              <w:rPr>
                <w:rFonts w:ascii="Arial" w:hAnsi="Arial" w:cs="Arial"/>
                <w:color w:val="000000" w:themeColor="text1"/>
                <w:sz w:val="18"/>
                <w:szCs w:val="18"/>
              </w:rPr>
              <w:t>3.7</w:t>
            </w:r>
            <w:r w:rsidRPr="00931A93">
              <w:rPr>
                <w:rFonts w:ascii="Arial" w:hAnsi="Arial" w:cs="Arial"/>
                <w:color w:val="000000" w:themeColor="text1"/>
                <w:sz w:val="18"/>
                <w:szCs w:val="18"/>
              </w:rPr>
              <w:t>%</w:t>
            </w:r>
          </w:p>
        </w:tc>
      </w:tr>
      <w:tr w:rsidR="00094547" w:rsidRPr="002A3B9B" w14:paraId="23202EFB" w14:textId="77777777" w:rsidTr="000945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vAlign w:val="center"/>
          </w:tcPr>
          <w:p w14:paraId="4C81F97C" w14:textId="711471D4"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FE7C73">
              <w:rPr>
                <w:rFonts w:ascii="Arial" w:hAnsi="Arial" w:cs="Arial"/>
                <w:color w:val="000000" w:themeColor="text1"/>
                <w:sz w:val="18"/>
                <w:szCs w:val="18"/>
              </w:rPr>
              <w:t>81</w:t>
            </w:r>
            <w:r w:rsidRPr="00315FEA">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314CEE27" w14:textId="6B8A7E97"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26DA">
              <w:rPr>
                <w:rFonts w:ascii="Arial" w:hAnsi="Arial" w:cs="Arial"/>
                <w:color w:val="000000" w:themeColor="text1"/>
                <w:sz w:val="18"/>
                <w:szCs w:val="18"/>
              </w:rPr>
              <w:t>+</w:t>
            </w:r>
            <w:r w:rsidR="00FE7C73">
              <w:rPr>
                <w:rFonts w:ascii="Arial" w:hAnsi="Arial" w:cs="Arial"/>
                <w:color w:val="000000" w:themeColor="text1"/>
                <w:sz w:val="18"/>
                <w:szCs w:val="18"/>
              </w:rPr>
              <w:t>8.4</w:t>
            </w:r>
            <w:r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6F591B6B" w14:textId="624D450C"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A6C6B">
              <w:rPr>
                <w:rFonts w:ascii="Arial" w:hAnsi="Arial" w:cs="Arial"/>
                <w:color w:val="000000" w:themeColor="text1"/>
                <w:sz w:val="18"/>
                <w:szCs w:val="18"/>
              </w:rPr>
              <w:t>+</w:t>
            </w:r>
            <w:r w:rsidR="00FE7C73">
              <w:rPr>
                <w:rFonts w:ascii="Arial" w:hAnsi="Arial" w:cs="Arial"/>
                <w:color w:val="000000" w:themeColor="text1"/>
                <w:sz w:val="18"/>
                <w:szCs w:val="18"/>
              </w:rPr>
              <w:t>11.5</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87DBC20" w14:textId="71D34C2D" w:rsidR="00094547" w:rsidRPr="00FB41A2"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lamb</w:t>
            </w:r>
          </w:p>
        </w:tc>
        <w:tc>
          <w:tcPr>
            <w:tcW w:w="934" w:type="dxa"/>
            <w:gridSpan w:val="2"/>
            <w:tcBorders>
              <w:top w:val="nil"/>
              <w:bottom w:val="nil"/>
            </w:tcBorders>
            <w:shd w:val="clear" w:color="auto" w:fill="D9D9D9" w:themeFill="background1" w:themeFillShade="D9"/>
            <w:vAlign w:val="center"/>
          </w:tcPr>
          <w:p w14:paraId="1AA6F2F7" w14:textId="04321B7B"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0115C">
              <w:rPr>
                <w:rFonts w:ascii="Arial" w:hAnsi="Arial" w:cs="Arial"/>
                <w:color w:val="000000" w:themeColor="text1"/>
                <w:sz w:val="18"/>
                <w:szCs w:val="18"/>
              </w:rPr>
              <w:t>$</w:t>
            </w:r>
            <w:r w:rsidR="00F862A0">
              <w:rPr>
                <w:rFonts w:ascii="Arial" w:hAnsi="Arial" w:cs="Arial"/>
                <w:color w:val="000000" w:themeColor="text1"/>
                <w:sz w:val="18"/>
                <w:szCs w:val="18"/>
              </w:rPr>
              <w:t>889</w:t>
            </w:r>
            <w:r w:rsidRPr="0060115C">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vAlign w:val="center"/>
          </w:tcPr>
          <w:p w14:paraId="11C3B152" w14:textId="71B1D3AF"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4.4</w:t>
            </w:r>
            <w:r w:rsidRPr="00C779D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1B764420" w14:textId="55D5717C"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14.4</w:t>
            </w:r>
            <w:r w:rsidRPr="00C779DA">
              <w:rPr>
                <w:rFonts w:ascii="Arial" w:hAnsi="Arial" w:cs="Arial"/>
                <w:color w:val="000000" w:themeColor="text1"/>
                <w:sz w:val="18"/>
                <w:szCs w:val="18"/>
              </w:rPr>
              <w:t>%</w:t>
            </w:r>
          </w:p>
        </w:tc>
      </w:tr>
      <w:tr w:rsidR="00094547" w:rsidRPr="002A3B9B" w14:paraId="0E93CA3A" w14:textId="77777777" w:rsidTr="00094547">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vAlign w:val="center"/>
          </w:tcPr>
          <w:p w14:paraId="211C1E4E" w14:textId="6D7F705C"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FE7C73">
              <w:rPr>
                <w:rFonts w:ascii="Arial" w:hAnsi="Arial" w:cs="Arial"/>
                <w:color w:val="000000" w:themeColor="text1"/>
                <w:sz w:val="18"/>
                <w:szCs w:val="18"/>
              </w:rPr>
              <w:t>20</w:t>
            </w:r>
            <w:r w:rsidRPr="00315FEA">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4EC34FF5" w14:textId="463AC9FB" w:rsidR="00094547" w:rsidRPr="00FB41A2" w:rsidRDefault="00755635"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9.0</w:t>
            </w:r>
            <w:r w:rsidR="00094547"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35DF37A1" w14:textId="3408EC6C" w:rsidR="00094547" w:rsidRPr="00FB41A2" w:rsidRDefault="00755635"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w:t>
            </w:r>
            <w:r w:rsidR="00FE7C73">
              <w:rPr>
                <w:rFonts w:ascii="Arial" w:hAnsi="Arial" w:cs="Arial"/>
                <w:color w:val="000000" w:themeColor="text1"/>
                <w:sz w:val="18"/>
                <w:szCs w:val="18"/>
              </w:rPr>
              <w:t>4.8</w:t>
            </w:r>
            <w:r w:rsidR="00094547"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F65FC38" w14:textId="7028D4B1"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exotic</w:t>
            </w:r>
          </w:p>
        </w:tc>
        <w:tc>
          <w:tcPr>
            <w:tcW w:w="934" w:type="dxa"/>
            <w:gridSpan w:val="2"/>
            <w:tcBorders>
              <w:top w:val="nil"/>
              <w:left w:val="nil"/>
              <w:bottom w:val="nil"/>
              <w:right w:val="nil"/>
            </w:tcBorders>
            <w:shd w:val="clear" w:color="auto" w:fill="auto"/>
            <w:vAlign w:val="center"/>
          </w:tcPr>
          <w:p w14:paraId="1689DD4B" w14:textId="145DCFD0"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B3875">
              <w:rPr>
                <w:rFonts w:ascii="Arial" w:hAnsi="Arial" w:cs="Arial"/>
                <w:color w:val="000000" w:themeColor="text1"/>
                <w:sz w:val="18"/>
                <w:szCs w:val="18"/>
              </w:rPr>
              <w:t>$</w:t>
            </w:r>
            <w:r w:rsidR="0089757F">
              <w:rPr>
                <w:rFonts w:ascii="Arial" w:hAnsi="Arial" w:cs="Arial"/>
                <w:color w:val="000000" w:themeColor="text1"/>
                <w:sz w:val="18"/>
                <w:szCs w:val="18"/>
              </w:rPr>
              <w:t>224</w:t>
            </w:r>
            <w:r w:rsidRPr="00EB3875">
              <w:rPr>
                <w:rFonts w:ascii="Arial" w:hAnsi="Arial" w:cs="Arial"/>
                <w:color w:val="000000" w:themeColor="text1"/>
                <w:sz w:val="18"/>
                <w:szCs w:val="18"/>
              </w:rPr>
              <w:t>M</w:t>
            </w:r>
          </w:p>
        </w:tc>
        <w:tc>
          <w:tcPr>
            <w:tcW w:w="1333" w:type="dxa"/>
            <w:tcBorders>
              <w:top w:val="nil"/>
              <w:left w:val="nil"/>
              <w:bottom w:val="nil"/>
              <w:right w:val="nil"/>
            </w:tcBorders>
            <w:shd w:val="clear" w:color="auto" w:fill="auto"/>
            <w:vAlign w:val="center"/>
          </w:tcPr>
          <w:p w14:paraId="41FB3DC5" w14:textId="77539D00"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89757F">
              <w:rPr>
                <w:rFonts w:ascii="Arial" w:hAnsi="Arial" w:cs="Arial"/>
                <w:color w:val="000000" w:themeColor="text1"/>
                <w:sz w:val="18"/>
                <w:szCs w:val="18"/>
              </w:rPr>
              <w:t>10.3</w:t>
            </w:r>
            <w:r w:rsidRPr="00C779DA">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E7D78E5" w14:textId="7177802C"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F862A0">
              <w:rPr>
                <w:rFonts w:ascii="Arial" w:hAnsi="Arial" w:cs="Arial"/>
                <w:color w:val="000000" w:themeColor="text1"/>
                <w:sz w:val="18"/>
                <w:szCs w:val="18"/>
              </w:rPr>
              <w:t>6.6</w:t>
            </w:r>
            <w:r w:rsidRPr="00C779DA">
              <w:rPr>
                <w:rFonts w:ascii="Arial" w:hAnsi="Arial" w:cs="Arial"/>
                <w:color w:val="000000" w:themeColor="text1"/>
                <w:sz w:val="18"/>
                <w:szCs w:val="18"/>
              </w:rPr>
              <w:t>%</w:t>
            </w:r>
          </w:p>
        </w:tc>
      </w:tr>
      <w:tr w:rsidR="00094547" w:rsidRPr="002A3B9B" w14:paraId="7076EB95" w14:textId="77777777" w:rsidTr="000945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vAlign w:val="center"/>
          </w:tcPr>
          <w:p w14:paraId="64354BA8" w14:textId="6C5A8D86"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FE7C73">
              <w:rPr>
                <w:rFonts w:ascii="Arial" w:hAnsi="Arial" w:cs="Arial"/>
                <w:color w:val="000000" w:themeColor="text1"/>
                <w:sz w:val="18"/>
                <w:szCs w:val="18"/>
              </w:rPr>
              <w:t>5</w:t>
            </w:r>
            <w:r w:rsidRPr="00315FEA">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A45E38" w14:textId="6220E83A"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3308E4">
              <w:rPr>
                <w:rFonts w:ascii="Arial" w:hAnsi="Arial" w:cs="Arial"/>
                <w:color w:val="000000" w:themeColor="text1"/>
                <w:sz w:val="18"/>
                <w:szCs w:val="18"/>
              </w:rPr>
              <w:t>2.0</w:t>
            </w:r>
            <w:r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656549D3"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E7C73">
              <w:rPr>
                <w:rFonts w:ascii="Arial" w:hAnsi="Arial" w:cs="Arial"/>
                <w:color w:val="000000" w:themeColor="text1"/>
                <w:sz w:val="18"/>
                <w:szCs w:val="18"/>
              </w:rPr>
              <w:t>6.7</w:t>
            </w:r>
            <w:r w:rsidRPr="00DA73BA">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D2A7A82" w14:textId="333513C0" w:rsidR="00094547" w:rsidRPr="00FB41A2"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Veal</w:t>
            </w:r>
          </w:p>
        </w:tc>
        <w:tc>
          <w:tcPr>
            <w:tcW w:w="934" w:type="dxa"/>
            <w:gridSpan w:val="2"/>
            <w:tcBorders>
              <w:top w:val="nil"/>
              <w:bottom w:val="nil"/>
            </w:tcBorders>
            <w:shd w:val="clear" w:color="auto" w:fill="D9D9D9" w:themeFill="background1" w:themeFillShade="D9"/>
            <w:vAlign w:val="center"/>
          </w:tcPr>
          <w:p w14:paraId="01AA82BB" w14:textId="29E5AAA1"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B3875">
              <w:rPr>
                <w:rFonts w:ascii="Arial" w:hAnsi="Arial" w:cs="Arial"/>
                <w:color w:val="000000" w:themeColor="text1"/>
                <w:sz w:val="18"/>
                <w:szCs w:val="18"/>
              </w:rPr>
              <w:t>$</w:t>
            </w:r>
            <w:r w:rsidR="003308E4">
              <w:rPr>
                <w:rFonts w:ascii="Arial" w:hAnsi="Arial" w:cs="Arial"/>
                <w:color w:val="000000" w:themeColor="text1"/>
                <w:sz w:val="18"/>
                <w:szCs w:val="18"/>
              </w:rPr>
              <w:t>44</w:t>
            </w:r>
            <w:r w:rsidRPr="00EB3875">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vAlign w:val="center"/>
          </w:tcPr>
          <w:p w14:paraId="0565E793" w14:textId="24CAFF3A"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9757F">
              <w:rPr>
                <w:rFonts w:ascii="Arial" w:hAnsi="Arial" w:cs="Arial"/>
                <w:color w:val="000000" w:themeColor="text1"/>
                <w:sz w:val="18"/>
                <w:szCs w:val="18"/>
              </w:rPr>
              <w:t>7.7</w:t>
            </w:r>
            <w:r w:rsidRPr="00C779D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171A941" w14:textId="28FC07DC"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08E4">
              <w:rPr>
                <w:rFonts w:ascii="Arial" w:hAnsi="Arial" w:cs="Arial"/>
                <w:color w:val="000000" w:themeColor="text1"/>
                <w:sz w:val="18"/>
                <w:szCs w:val="18"/>
              </w:rPr>
              <w:t>8.</w:t>
            </w:r>
            <w:r w:rsidR="00F862A0">
              <w:rPr>
                <w:rFonts w:ascii="Arial" w:hAnsi="Arial" w:cs="Arial"/>
                <w:color w:val="000000" w:themeColor="text1"/>
                <w:sz w:val="18"/>
                <w:szCs w:val="18"/>
              </w:rPr>
              <w:t>7</w:t>
            </w:r>
            <w:r w:rsidRPr="00C779DA">
              <w:rPr>
                <w:rFonts w:ascii="Arial" w:hAnsi="Arial" w:cs="Arial"/>
                <w:color w:val="000000" w:themeColor="text1"/>
                <w:sz w:val="18"/>
                <w:szCs w:val="18"/>
              </w:rPr>
              <w:t>%</w:t>
            </w:r>
          </w:p>
        </w:tc>
      </w:tr>
      <w:bookmarkEnd w:id="9"/>
    </w:tbl>
    <w:p w14:paraId="2031E023" w14:textId="2AE135AC" w:rsidR="005E4F84" w:rsidRPr="002E1C0B" w:rsidRDefault="005E4F84" w:rsidP="00525982">
      <w:pPr>
        <w:pStyle w:val="NoSpacing"/>
        <w:rPr>
          <w:rFonts w:ascii="Arial" w:hAnsi="Arial" w:cs="Arial"/>
          <w:sz w:val="6"/>
          <w:szCs w:val="10"/>
        </w:rPr>
      </w:pPr>
    </w:p>
    <w:p w14:paraId="2B1AD210" w14:textId="217422B6" w:rsidR="00523954" w:rsidRDefault="005E4F84" w:rsidP="005E4F84">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bookmarkEnd w:id="8"/>
    <w:p w14:paraId="18C20B79" w14:textId="60F4B9BF" w:rsidR="00523954" w:rsidRDefault="00523954" w:rsidP="00E57D76">
      <w:pPr>
        <w:pStyle w:val="NoSpacing"/>
        <w:rPr>
          <w:rFonts w:ascii="Arial" w:hAnsi="Arial" w:cs="Arial"/>
          <w:sz w:val="20"/>
          <w:szCs w:val="20"/>
        </w:rPr>
      </w:pPr>
    </w:p>
    <w:p w14:paraId="76DEDD45" w14:textId="77777777" w:rsidR="00FE7C73" w:rsidRDefault="00FE7C73" w:rsidP="005C43DB">
      <w:pPr>
        <w:spacing w:after="0"/>
        <w:rPr>
          <w:rFonts w:ascii="Arial" w:hAnsi="Arial" w:cs="Arial"/>
          <w:b/>
          <w:color w:val="595959" w:themeColor="text1" w:themeTint="A6"/>
          <w:sz w:val="24"/>
          <w:szCs w:val="24"/>
        </w:rPr>
      </w:pPr>
    </w:p>
    <w:p w14:paraId="4F9768B6" w14:textId="3E0F9549" w:rsidR="00E57D76" w:rsidRPr="006879B2" w:rsidRDefault="00E57D76" w:rsidP="005C43DB">
      <w:pPr>
        <w:spacing w:after="0"/>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10CE2EC2" w14:textId="4ECE3C53" w:rsidR="00EF5381" w:rsidRDefault="0080483A" w:rsidP="00FF790A">
      <w:pPr>
        <w:pStyle w:val="NoSpacing"/>
        <w:rPr>
          <w:rFonts w:ascii="Arial" w:hAnsi="Arial" w:cs="Arial"/>
          <w:sz w:val="20"/>
          <w:szCs w:val="20"/>
        </w:rPr>
      </w:pPr>
      <w:r>
        <w:rPr>
          <w:rFonts w:ascii="Arial" w:hAnsi="Arial" w:cs="Arial"/>
          <w:sz w:val="20"/>
          <w:szCs w:val="20"/>
        </w:rPr>
        <w:t>While September brought improved pound sales for processed meat with a strong Labor Day performance, pounds declined year-over-year in October</w:t>
      </w:r>
      <w:r w:rsidR="00676259">
        <w:rPr>
          <w:rFonts w:ascii="Arial" w:hAnsi="Arial" w:cs="Arial"/>
          <w:sz w:val="20"/>
          <w:szCs w:val="20"/>
        </w:rPr>
        <w:t>, albeit by a mere 0.6%</w:t>
      </w:r>
      <w:r>
        <w:rPr>
          <w:rFonts w:ascii="Arial" w:hAnsi="Arial" w:cs="Arial"/>
          <w:sz w:val="20"/>
          <w:szCs w:val="20"/>
        </w:rPr>
        <w:t xml:space="preserve">. Packaged lunchmeat </w:t>
      </w:r>
      <w:r w:rsidR="00676259">
        <w:rPr>
          <w:rFonts w:ascii="Arial" w:hAnsi="Arial" w:cs="Arial"/>
          <w:sz w:val="20"/>
          <w:szCs w:val="20"/>
        </w:rPr>
        <w:t xml:space="preserve">pound sales were </w:t>
      </w:r>
      <w:r>
        <w:rPr>
          <w:rFonts w:ascii="Arial" w:hAnsi="Arial" w:cs="Arial"/>
          <w:sz w:val="20"/>
          <w:szCs w:val="20"/>
        </w:rPr>
        <w:t xml:space="preserve">down </w:t>
      </w:r>
      <w:r w:rsidR="00676259">
        <w:rPr>
          <w:rFonts w:ascii="Arial" w:hAnsi="Arial" w:cs="Arial"/>
          <w:sz w:val="20"/>
          <w:szCs w:val="20"/>
        </w:rPr>
        <w:t>2.3</w:t>
      </w:r>
      <w:r>
        <w:rPr>
          <w:rFonts w:ascii="Arial" w:hAnsi="Arial" w:cs="Arial"/>
          <w:sz w:val="20"/>
          <w:szCs w:val="20"/>
        </w:rPr>
        <w:t>% year-over-over and smoked ham sales are off to a slower start</w:t>
      </w:r>
      <w:r w:rsidR="002B7BF3">
        <w:rPr>
          <w:rFonts w:ascii="Arial" w:hAnsi="Arial" w:cs="Arial"/>
          <w:sz w:val="20"/>
          <w:szCs w:val="20"/>
        </w:rPr>
        <w:t xml:space="preserve"> of the holiday season</w:t>
      </w:r>
      <w:r>
        <w:rPr>
          <w:rFonts w:ascii="Arial" w:hAnsi="Arial" w:cs="Arial"/>
          <w:sz w:val="20"/>
          <w:szCs w:val="20"/>
        </w:rPr>
        <w:t xml:space="preserve">. As holiday purchase patterns continue to change, moving back closer to the holiday week, this is likely to self-correct in November. See the “What’s Next?” section for the 2023 Thanksgiving trends. </w:t>
      </w:r>
      <w:r w:rsidR="005C43DB">
        <w:rPr>
          <w:rFonts w:ascii="Arial" w:hAnsi="Arial" w:cs="Arial"/>
          <w:sz w:val="20"/>
          <w:szCs w:val="20"/>
        </w:rPr>
        <w:t xml:space="preserve">In the full-year view, processed meat </w:t>
      </w:r>
      <w:r>
        <w:rPr>
          <w:rFonts w:ascii="Arial" w:hAnsi="Arial" w:cs="Arial"/>
          <w:sz w:val="20"/>
          <w:szCs w:val="20"/>
        </w:rPr>
        <w:t xml:space="preserve">dollar and </w:t>
      </w:r>
      <w:r w:rsidR="005C43DB">
        <w:rPr>
          <w:rFonts w:ascii="Arial" w:hAnsi="Arial" w:cs="Arial"/>
          <w:sz w:val="20"/>
          <w:szCs w:val="20"/>
        </w:rPr>
        <w:t xml:space="preserve">volume sales </w:t>
      </w:r>
      <w:r>
        <w:rPr>
          <w:rFonts w:ascii="Arial" w:hAnsi="Arial" w:cs="Arial"/>
          <w:sz w:val="20"/>
          <w:szCs w:val="20"/>
        </w:rPr>
        <w:t xml:space="preserve">remained very close to </w:t>
      </w:r>
      <w:r w:rsidR="005C43DB">
        <w:rPr>
          <w:rFonts w:ascii="Arial" w:hAnsi="Arial" w:cs="Arial"/>
          <w:sz w:val="20"/>
          <w:szCs w:val="20"/>
        </w:rPr>
        <w:t xml:space="preserve">last year’s levels. </w:t>
      </w:r>
      <w:r w:rsidR="002A56DB">
        <w:rPr>
          <w:rFonts w:ascii="Arial" w:hAnsi="Arial" w:cs="Arial"/>
          <w:sz w:val="20"/>
          <w:szCs w:val="20"/>
        </w:rPr>
        <w:t xml:space="preserve"> </w:t>
      </w:r>
    </w:p>
    <w:p w14:paraId="10D7BF6A" w14:textId="77777777" w:rsidR="00525982" w:rsidRPr="00CA62D6" w:rsidRDefault="00525982" w:rsidP="00FF790A">
      <w:pPr>
        <w:pStyle w:val="NoSpacing"/>
        <w:rPr>
          <w:rFonts w:ascii="Arial" w:hAnsi="Arial" w:cs="Arial"/>
          <w:sz w:val="18"/>
          <w:szCs w:val="20"/>
        </w:rPr>
      </w:pPr>
    </w:p>
    <w:p w14:paraId="2D8DC075" w14:textId="77777777" w:rsidR="00297E8F" w:rsidRDefault="00297E8F">
      <w:r>
        <w:rPr>
          <w:b/>
          <w:bCs/>
        </w:rPr>
        <w:br w:type="page"/>
      </w:r>
    </w:p>
    <w:tbl>
      <w:tblPr>
        <w:tblStyle w:val="LightShading-Accent5"/>
        <w:tblW w:w="10535" w:type="dxa"/>
        <w:tblLayout w:type="fixed"/>
        <w:tblLook w:val="04A0" w:firstRow="1" w:lastRow="0" w:firstColumn="1" w:lastColumn="0" w:noHBand="0" w:noVBand="1"/>
      </w:tblPr>
      <w:tblGrid>
        <w:gridCol w:w="1979"/>
        <w:gridCol w:w="995"/>
        <w:gridCol w:w="712"/>
        <w:gridCol w:w="373"/>
        <w:gridCol w:w="1147"/>
        <w:gridCol w:w="1833"/>
        <w:gridCol w:w="73"/>
        <w:gridCol w:w="990"/>
        <w:gridCol w:w="1078"/>
        <w:gridCol w:w="1355"/>
      </w:tblGrid>
      <w:tr w:rsidR="007E7040" w:rsidRPr="0003007F" w14:paraId="2B0189C6"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13C124A6" w14:textId="4F45384D" w:rsidR="007E7040" w:rsidRPr="00AB1306" w:rsidRDefault="007E7040" w:rsidP="007E7040">
            <w:pPr>
              <w:pStyle w:val="NoSpacing"/>
              <w:rPr>
                <w:rFonts w:ascii="Arial" w:hAnsi="Arial" w:cs="Arial"/>
                <w:color w:val="FFFFFF" w:themeColor="background1"/>
                <w:sz w:val="18"/>
                <w:szCs w:val="18"/>
              </w:rPr>
            </w:pPr>
          </w:p>
        </w:tc>
        <w:tc>
          <w:tcPr>
            <w:tcW w:w="1707" w:type="dxa"/>
            <w:gridSpan w:val="2"/>
            <w:tcBorders>
              <w:top w:val="nil"/>
              <w:bottom w:val="nil"/>
            </w:tcBorders>
            <w:shd w:val="clear" w:color="auto" w:fill="17365D" w:themeFill="text2" w:themeFillShade="BF"/>
          </w:tcPr>
          <w:p w14:paraId="73A79EA3" w14:textId="5CB3C80A" w:rsidR="007E7040" w:rsidRPr="00AB1306" w:rsidRDefault="007E7040" w:rsidP="007E7040">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89757F">
              <w:rPr>
                <w:rFonts w:ascii="Arial" w:hAnsi="Arial" w:cs="Arial"/>
                <w:color w:val="FFFFFF" w:themeColor="background1"/>
                <w:sz w:val="18"/>
                <w:szCs w:val="18"/>
              </w:rPr>
              <w:t xml:space="preserve">October </w:t>
            </w:r>
            <w:r w:rsidR="001F639F">
              <w:rPr>
                <w:rFonts w:ascii="Arial" w:hAnsi="Arial" w:cs="Arial"/>
                <w:color w:val="FFFFFF" w:themeColor="background1"/>
                <w:sz w:val="18"/>
                <w:szCs w:val="18"/>
              </w:rPr>
              <w:t>2024</w:t>
            </w:r>
          </w:p>
        </w:tc>
        <w:tc>
          <w:tcPr>
            <w:tcW w:w="3353" w:type="dxa"/>
            <w:gridSpan w:val="3"/>
            <w:tcBorders>
              <w:top w:val="nil"/>
              <w:bottom w:val="nil"/>
            </w:tcBorders>
            <w:shd w:val="clear" w:color="auto" w:fill="17365D" w:themeFill="text2" w:themeFillShade="BF"/>
          </w:tcPr>
          <w:p w14:paraId="007DC51C" w14:textId="77777777" w:rsidR="007E7040" w:rsidRPr="00F515F4" w:rsidRDefault="007E7040"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6" w:type="dxa"/>
            <w:gridSpan w:val="4"/>
            <w:tcBorders>
              <w:top w:val="nil"/>
              <w:bottom w:val="nil"/>
            </w:tcBorders>
            <w:shd w:val="clear" w:color="auto" w:fill="17365D" w:themeFill="text2" w:themeFillShade="BF"/>
          </w:tcPr>
          <w:p w14:paraId="73FF7A3E" w14:textId="73D8D4D4" w:rsidR="007E7040" w:rsidRPr="0003007F" w:rsidRDefault="007E63BC"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246F48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50F297F"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61B7F2A8"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85" w:type="dxa"/>
            <w:gridSpan w:val="2"/>
            <w:tcBorders>
              <w:top w:val="nil"/>
              <w:bottom w:val="nil"/>
            </w:tcBorders>
            <w:shd w:val="clear" w:color="auto" w:fill="17365D" w:themeFill="text2" w:themeFillShade="BF"/>
          </w:tcPr>
          <w:p w14:paraId="68E50B3E"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147" w:type="dxa"/>
            <w:tcBorders>
              <w:top w:val="nil"/>
              <w:bottom w:val="nil"/>
            </w:tcBorders>
            <w:shd w:val="clear" w:color="auto" w:fill="17365D" w:themeFill="text2" w:themeFillShade="BF"/>
          </w:tcPr>
          <w:p w14:paraId="35ED3F29" w14:textId="77777777" w:rsidR="00525982" w:rsidRPr="002A3B9B" w:rsidRDefault="00525982" w:rsidP="000C24C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906" w:type="dxa"/>
            <w:gridSpan w:val="2"/>
            <w:tcBorders>
              <w:top w:val="nil"/>
              <w:bottom w:val="nil"/>
            </w:tcBorders>
            <w:shd w:val="clear" w:color="auto" w:fill="17365D" w:themeFill="text2" w:themeFillShade="BF"/>
          </w:tcPr>
          <w:p w14:paraId="699CE87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tcPr>
          <w:p w14:paraId="438F6F5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70AECFA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7D60B685"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A54264" w:rsidRPr="00525982" w14:paraId="5F49FDDC" w14:textId="77777777" w:rsidTr="003308E4">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77204572" w14:textId="5BD73745" w:rsidR="00A54264" w:rsidRPr="00FB41A2" w:rsidRDefault="00A54264" w:rsidP="00A54264">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2C151529" w14:textId="11F2F7FB"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76259">
              <w:rPr>
                <w:rFonts w:ascii="Arial" w:hAnsi="Arial" w:cs="Arial"/>
                <w:b/>
                <w:bCs/>
                <w:color w:val="000000" w:themeColor="text1"/>
                <w:sz w:val="18"/>
                <w:szCs w:val="18"/>
              </w:rPr>
              <w:t>2.9</w:t>
            </w:r>
            <w:r w:rsidRPr="00FB41A2">
              <w:rPr>
                <w:rFonts w:ascii="Arial" w:hAnsi="Arial" w:cs="Arial"/>
                <w:b/>
                <w:bCs/>
                <w:color w:val="000000" w:themeColor="text1"/>
                <w:sz w:val="18"/>
                <w:szCs w:val="18"/>
              </w:rPr>
              <w:t>B</w:t>
            </w:r>
          </w:p>
        </w:tc>
        <w:tc>
          <w:tcPr>
            <w:tcW w:w="1085" w:type="dxa"/>
            <w:gridSpan w:val="2"/>
            <w:tcBorders>
              <w:top w:val="nil"/>
              <w:left w:val="nil"/>
              <w:bottom w:val="nil"/>
              <w:right w:val="nil"/>
            </w:tcBorders>
            <w:vAlign w:val="center"/>
          </w:tcPr>
          <w:p w14:paraId="3FD9A248" w14:textId="5AF8B800" w:rsidR="00A54264" w:rsidRPr="00A54264" w:rsidRDefault="0080483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676259">
              <w:rPr>
                <w:rFonts w:ascii="Arial" w:hAnsi="Arial" w:cs="Arial"/>
                <w:b/>
                <w:color w:val="000000" w:themeColor="text1"/>
                <w:sz w:val="18"/>
                <w:szCs w:val="18"/>
              </w:rPr>
              <w:t>0.5</w:t>
            </w:r>
            <w:r w:rsidR="00A54264" w:rsidRPr="00A54264">
              <w:rPr>
                <w:rFonts w:ascii="Arial" w:hAnsi="Arial" w:cs="Arial"/>
                <w:b/>
                <w:color w:val="000000" w:themeColor="text1"/>
                <w:sz w:val="18"/>
                <w:szCs w:val="18"/>
              </w:rPr>
              <w:t>%</w:t>
            </w:r>
          </w:p>
        </w:tc>
        <w:tc>
          <w:tcPr>
            <w:tcW w:w="1147" w:type="dxa"/>
            <w:tcBorders>
              <w:top w:val="nil"/>
              <w:left w:val="nil"/>
              <w:bottom w:val="nil"/>
              <w:right w:val="single" w:sz="4" w:space="0" w:color="31849B" w:themeColor="accent5" w:themeShade="BF"/>
            </w:tcBorders>
            <w:vAlign w:val="center"/>
          </w:tcPr>
          <w:p w14:paraId="1B337C93" w14:textId="37BF8B64" w:rsidR="00A54264" w:rsidRPr="00A54264" w:rsidRDefault="0080483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676259">
              <w:rPr>
                <w:rFonts w:ascii="Arial" w:hAnsi="Arial" w:cs="Arial"/>
                <w:b/>
                <w:color w:val="000000" w:themeColor="text1"/>
                <w:sz w:val="18"/>
                <w:szCs w:val="18"/>
              </w:rPr>
              <w:t>0.6</w:t>
            </w:r>
            <w:r w:rsidR="00A54264" w:rsidRPr="00A54264">
              <w:rPr>
                <w:rFonts w:ascii="Arial" w:hAnsi="Arial" w:cs="Arial"/>
                <w:b/>
                <w:color w:val="000000" w:themeColor="text1"/>
                <w:sz w:val="18"/>
                <w:szCs w:val="18"/>
              </w:rPr>
              <w:t>%</w:t>
            </w:r>
          </w:p>
        </w:tc>
        <w:tc>
          <w:tcPr>
            <w:tcW w:w="1906" w:type="dxa"/>
            <w:gridSpan w:val="2"/>
            <w:tcBorders>
              <w:top w:val="nil"/>
              <w:left w:val="single" w:sz="4" w:space="0" w:color="31849B" w:themeColor="accent5" w:themeShade="BF"/>
              <w:bottom w:val="nil"/>
              <w:right w:val="nil"/>
            </w:tcBorders>
            <w:vAlign w:val="center"/>
          </w:tcPr>
          <w:p w14:paraId="213ED3C5" w14:textId="518F6C81" w:rsidR="00A54264" w:rsidRPr="000C24CB" w:rsidRDefault="00A54264" w:rsidP="00A5426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C24CB">
              <w:rPr>
                <w:rFonts w:ascii="Arial" w:hAnsi="Arial" w:cs="Arial"/>
                <w:b/>
                <w:bCs/>
                <w:color w:val="000000" w:themeColor="text1"/>
                <w:sz w:val="18"/>
                <w:szCs w:val="18"/>
              </w:rPr>
              <w:t>Processed meat</w:t>
            </w:r>
          </w:p>
        </w:tc>
        <w:tc>
          <w:tcPr>
            <w:tcW w:w="990" w:type="dxa"/>
            <w:tcBorders>
              <w:top w:val="nil"/>
              <w:left w:val="nil"/>
              <w:bottom w:val="nil"/>
              <w:right w:val="nil"/>
            </w:tcBorders>
            <w:vAlign w:val="center"/>
          </w:tcPr>
          <w:p w14:paraId="024EE12C" w14:textId="1868BDDD"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80483A">
              <w:rPr>
                <w:rFonts w:ascii="Arial" w:hAnsi="Arial" w:cs="Arial"/>
                <w:b/>
                <w:bCs/>
                <w:color w:val="000000" w:themeColor="text1"/>
                <w:sz w:val="18"/>
                <w:szCs w:val="18"/>
              </w:rPr>
              <w:t>31.5</w:t>
            </w:r>
            <w:r>
              <w:rPr>
                <w:rFonts w:ascii="Arial" w:hAnsi="Arial" w:cs="Arial"/>
                <w:b/>
                <w:bCs/>
                <w:color w:val="000000" w:themeColor="text1"/>
                <w:sz w:val="18"/>
                <w:szCs w:val="18"/>
              </w:rPr>
              <w:t>B</w:t>
            </w:r>
          </w:p>
        </w:tc>
        <w:tc>
          <w:tcPr>
            <w:tcW w:w="1078" w:type="dxa"/>
            <w:tcBorders>
              <w:top w:val="nil"/>
              <w:left w:val="nil"/>
              <w:bottom w:val="nil"/>
              <w:right w:val="nil"/>
            </w:tcBorders>
            <w:vAlign w:val="center"/>
          </w:tcPr>
          <w:p w14:paraId="2720F5BB" w14:textId="4780A92F" w:rsidR="00A54264" w:rsidRPr="00A54264" w:rsidRDefault="00346BC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FE3782">
              <w:rPr>
                <w:rFonts w:ascii="Arial" w:hAnsi="Arial" w:cs="Arial"/>
                <w:b/>
                <w:color w:val="000000" w:themeColor="text1"/>
                <w:sz w:val="18"/>
                <w:szCs w:val="18"/>
              </w:rPr>
              <w:t>0.</w:t>
            </w:r>
            <w:r w:rsidR="0080483A">
              <w:rPr>
                <w:rFonts w:ascii="Arial" w:hAnsi="Arial" w:cs="Arial"/>
                <w:b/>
                <w:color w:val="000000" w:themeColor="text1"/>
                <w:sz w:val="18"/>
                <w:szCs w:val="18"/>
              </w:rPr>
              <w:t>3</w:t>
            </w:r>
            <w:r w:rsidR="00A54264" w:rsidRPr="00A54264">
              <w:rPr>
                <w:rFonts w:ascii="Arial" w:hAnsi="Arial" w:cs="Arial"/>
                <w:b/>
                <w:color w:val="000000" w:themeColor="text1"/>
                <w:sz w:val="18"/>
                <w:szCs w:val="18"/>
              </w:rPr>
              <w:t>%</w:t>
            </w:r>
          </w:p>
        </w:tc>
        <w:tc>
          <w:tcPr>
            <w:tcW w:w="1355" w:type="dxa"/>
            <w:tcBorders>
              <w:top w:val="nil"/>
              <w:left w:val="nil"/>
              <w:bottom w:val="nil"/>
            </w:tcBorders>
            <w:vAlign w:val="center"/>
          </w:tcPr>
          <w:p w14:paraId="367FC8E0" w14:textId="2002458A" w:rsidR="00A54264" w:rsidRPr="00A54264" w:rsidRDefault="00346BC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FE3782">
              <w:rPr>
                <w:rFonts w:ascii="Arial" w:hAnsi="Arial" w:cs="Arial"/>
                <w:b/>
                <w:color w:val="000000" w:themeColor="text1"/>
                <w:sz w:val="18"/>
                <w:szCs w:val="18"/>
              </w:rPr>
              <w:t>0.</w:t>
            </w:r>
            <w:r w:rsidR="0080483A">
              <w:rPr>
                <w:rFonts w:ascii="Arial" w:hAnsi="Arial" w:cs="Arial"/>
                <w:b/>
                <w:color w:val="000000" w:themeColor="text1"/>
                <w:sz w:val="18"/>
                <w:szCs w:val="18"/>
              </w:rPr>
              <w:t>1</w:t>
            </w:r>
            <w:r w:rsidR="00A54264" w:rsidRPr="00A54264">
              <w:rPr>
                <w:rFonts w:ascii="Arial" w:hAnsi="Arial" w:cs="Arial"/>
                <w:b/>
                <w:color w:val="000000" w:themeColor="text1"/>
                <w:sz w:val="18"/>
                <w:szCs w:val="18"/>
              </w:rPr>
              <w:t>%</w:t>
            </w:r>
          </w:p>
        </w:tc>
      </w:tr>
      <w:tr w:rsidR="00346BCA" w:rsidRPr="00525982" w14:paraId="75560C2F" w14:textId="77777777" w:rsidTr="003308E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2BC9E1CF" w14:textId="38C2C791" w:rsidR="00346BCA" w:rsidRPr="00B22658" w:rsidRDefault="00346BCA" w:rsidP="00346BCA">
            <w:pPr>
              <w:pStyle w:val="NoSpacing"/>
              <w:rPr>
                <w:rFonts w:ascii="Arial" w:hAnsi="Arial" w:cs="Arial"/>
                <w:b w:val="0"/>
                <w:color w:val="000000" w:themeColor="text1"/>
                <w:sz w:val="18"/>
                <w:szCs w:val="18"/>
              </w:rPr>
            </w:pPr>
            <w:r w:rsidRPr="00FB41A2">
              <w:rPr>
                <w:rFonts w:ascii="Arial" w:hAnsi="Arial" w:cs="Arial"/>
                <w:b w:val="0"/>
                <w:color w:val="000000" w:themeColor="text1"/>
                <w:sz w:val="18"/>
                <w:szCs w:val="18"/>
              </w:rPr>
              <w:t>Packaged lunchmeat</w:t>
            </w:r>
          </w:p>
        </w:tc>
        <w:tc>
          <w:tcPr>
            <w:tcW w:w="995" w:type="dxa"/>
            <w:tcBorders>
              <w:top w:val="nil"/>
              <w:bottom w:val="nil"/>
            </w:tcBorders>
            <w:shd w:val="clear" w:color="auto" w:fill="D9D9D9" w:themeFill="background1" w:themeFillShade="D9"/>
            <w:vAlign w:val="center"/>
          </w:tcPr>
          <w:p w14:paraId="7AE88675" w14:textId="32AC6E1C" w:rsidR="00346BCA" w:rsidRPr="00FB41A2" w:rsidRDefault="003308E4"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677</w:t>
            </w:r>
            <w:r>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457B228D" w14:textId="2AB62E68" w:rsidR="00346BCA" w:rsidRPr="00FB41A2" w:rsidRDefault="00346BCA"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0.2</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1FE9525E" w14:textId="01F6E39C" w:rsidR="00346BCA" w:rsidRPr="00FB41A2" w:rsidRDefault="00346BCA"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2.3</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5099D24" w14:textId="04008FEE" w:rsidR="00346BCA" w:rsidRPr="00FB41A2" w:rsidRDefault="00346BCA" w:rsidP="00346BC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90" w:type="dxa"/>
            <w:tcBorders>
              <w:top w:val="nil"/>
              <w:bottom w:val="nil"/>
            </w:tcBorders>
            <w:shd w:val="clear" w:color="auto" w:fill="D9D9D9" w:themeFill="background1" w:themeFillShade="D9"/>
            <w:vAlign w:val="center"/>
          </w:tcPr>
          <w:p w14:paraId="6CDE425F" w14:textId="54E2C74D" w:rsidR="00346BCA" w:rsidRPr="0022537E" w:rsidRDefault="00346BCA"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5704">
              <w:rPr>
                <w:rFonts w:ascii="Arial" w:hAnsi="Arial" w:cs="Arial"/>
                <w:bCs/>
                <w:color w:val="000000" w:themeColor="text1"/>
                <w:sz w:val="18"/>
                <w:szCs w:val="18"/>
              </w:rPr>
              <w:t>$</w:t>
            </w:r>
            <w:r w:rsidR="0080483A">
              <w:rPr>
                <w:rFonts w:ascii="Arial" w:hAnsi="Arial" w:cs="Arial"/>
                <w:bCs/>
                <w:color w:val="000000" w:themeColor="text1"/>
                <w:sz w:val="18"/>
                <w:szCs w:val="18"/>
              </w:rPr>
              <w:t>7.0</w:t>
            </w:r>
            <w:r w:rsidRPr="000B5704">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25A51D9D" w14:textId="5F46000E" w:rsidR="00346BCA" w:rsidRPr="0022537E" w:rsidRDefault="00346BCA"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0483A">
              <w:rPr>
                <w:rFonts w:ascii="Arial" w:hAnsi="Arial" w:cs="Arial"/>
                <w:color w:val="000000" w:themeColor="text1"/>
                <w:sz w:val="18"/>
                <w:szCs w:val="18"/>
              </w:rPr>
              <w:t>2.5</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4A6DE77A" w14:textId="28544829" w:rsidR="00346BCA" w:rsidRPr="0022537E" w:rsidRDefault="00346BCA" w:rsidP="00330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FE3782">
              <w:rPr>
                <w:rFonts w:ascii="Arial" w:hAnsi="Arial" w:cs="Arial"/>
                <w:color w:val="000000" w:themeColor="text1"/>
                <w:sz w:val="18"/>
                <w:szCs w:val="18"/>
              </w:rPr>
              <w:t>0.</w:t>
            </w:r>
            <w:r w:rsidR="0080483A">
              <w:rPr>
                <w:rFonts w:ascii="Arial" w:hAnsi="Arial" w:cs="Arial"/>
                <w:color w:val="000000" w:themeColor="text1"/>
                <w:sz w:val="18"/>
                <w:szCs w:val="18"/>
              </w:rPr>
              <w:t>6</w:t>
            </w:r>
            <w:r w:rsidRPr="007015E7">
              <w:rPr>
                <w:rFonts w:ascii="Arial" w:hAnsi="Arial" w:cs="Arial"/>
                <w:color w:val="000000" w:themeColor="text1"/>
                <w:sz w:val="18"/>
                <w:szCs w:val="18"/>
              </w:rPr>
              <w:t>%</w:t>
            </w:r>
          </w:p>
        </w:tc>
      </w:tr>
      <w:tr w:rsidR="00FE7C73" w:rsidRPr="00525982" w14:paraId="0AFF00DD" w14:textId="77777777" w:rsidTr="003308E4">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6AF1C46F" w14:textId="69602695" w:rsidR="00FE7C73" w:rsidRPr="00FB41A2" w:rsidRDefault="00FE7C73" w:rsidP="00FE7C73">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Bacon</w:t>
            </w:r>
          </w:p>
        </w:tc>
        <w:tc>
          <w:tcPr>
            <w:tcW w:w="995" w:type="dxa"/>
            <w:tcBorders>
              <w:top w:val="nil"/>
              <w:bottom w:val="nil"/>
            </w:tcBorders>
            <w:vAlign w:val="center"/>
          </w:tcPr>
          <w:p w14:paraId="5809C9A3" w14:textId="754AE72F"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652</w:t>
            </w:r>
            <w:r>
              <w:rPr>
                <w:rFonts w:ascii="Arial" w:hAnsi="Arial" w:cs="Arial"/>
                <w:color w:val="000000" w:themeColor="text1"/>
                <w:sz w:val="18"/>
                <w:szCs w:val="18"/>
              </w:rPr>
              <w:t>M</w:t>
            </w:r>
          </w:p>
        </w:tc>
        <w:tc>
          <w:tcPr>
            <w:tcW w:w="1085" w:type="dxa"/>
            <w:gridSpan w:val="2"/>
            <w:tcBorders>
              <w:top w:val="nil"/>
              <w:bottom w:val="nil"/>
            </w:tcBorders>
            <w:vAlign w:val="center"/>
          </w:tcPr>
          <w:p w14:paraId="0A89610A" w14:textId="071D436F"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0.8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35C628C" w14:textId="7F4D0F2D" w:rsidR="00FE7C73" w:rsidRPr="00FB41A2" w:rsidRDefault="00676259"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+5.3</w:t>
            </w:r>
            <w:r w:rsidR="00FE7C73"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1A3D6B41" w14:textId="08EAEE3B"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Bacon</w:t>
            </w:r>
          </w:p>
        </w:tc>
        <w:tc>
          <w:tcPr>
            <w:tcW w:w="990" w:type="dxa"/>
            <w:tcBorders>
              <w:top w:val="nil"/>
              <w:bottom w:val="nil"/>
            </w:tcBorders>
            <w:vAlign w:val="center"/>
          </w:tcPr>
          <w:p w14:paraId="414860A6" w14:textId="29FBB2DC"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B5704">
              <w:rPr>
                <w:rFonts w:ascii="Arial" w:hAnsi="Arial" w:cs="Arial"/>
                <w:bCs/>
                <w:color w:val="000000" w:themeColor="text1"/>
                <w:sz w:val="18"/>
                <w:szCs w:val="18"/>
              </w:rPr>
              <w:t>$</w:t>
            </w:r>
            <w:r>
              <w:rPr>
                <w:rFonts w:ascii="Arial" w:hAnsi="Arial" w:cs="Arial"/>
                <w:bCs/>
                <w:color w:val="000000" w:themeColor="text1"/>
                <w:sz w:val="18"/>
                <w:szCs w:val="18"/>
              </w:rPr>
              <w:t>6.8</w:t>
            </w:r>
            <w:r w:rsidRPr="000B5704">
              <w:rPr>
                <w:rFonts w:ascii="Arial" w:hAnsi="Arial" w:cs="Arial"/>
                <w:bCs/>
                <w:color w:val="000000" w:themeColor="text1"/>
                <w:sz w:val="18"/>
                <w:szCs w:val="18"/>
              </w:rPr>
              <w:t>B</w:t>
            </w:r>
          </w:p>
        </w:tc>
        <w:tc>
          <w:tcPr>
            <w:tcW w:w="1078" w:type="dxa"/>
            <w:tcBorders>
              <w:top w:val="nil"/>
              <w:bottom w:val="nil"/>
            </w:tcBorders>
            <w:vAlign w:val="center"/>
          </w:tcPr>
          <w:p w14:paraId="10B09773" w14:textId="5AC488B7"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3.1</w:t>
            </w:r>
            <w:r w:rsidRPr="007015E7">
              <w:rPr>
                <w:rFonts w:ascii="Arial" w:hAnsi="Arial" w:cs="Arial"/>
                <w:color w:val="000000" w:themeColor="text1"/>
                <w:sz w:val="18"/>
                <w:szCs w:val="18"/>
              </w:rPr>
              <w:t>%</w:t>
            </w:r>
          </w:p>
        </w:tc>
        <w:tc>
          <w:tcPr>
            <w:tcW w:w="1355" w:type="dxa"/>
            <w:tcBorders>
              <w:top w:val="nil"/>
              <w:bottom w:val="nil"/>
            </w:tcBorders>
            <w:vAlign w:val="center"/>
          </w:tcPr>
          <w:p w14:paraId="61AED3C4" w14:textId="770EF477"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w:t>
            </w:r>
            <w:r w:rsidRPr="007015E7">
              <w:rPr>
                <w:rFonts w:ascii="Arial" w:hAnsi="Arial" w:cs="Arial"/>
                <w:color w:val="000000" w:themeColor="text1"/>
                <w:sz w:val="18"/>
                <w:szCs w:val="18"/>
              </w:rPr>
              <w:t>%</w:t>
            </w:r>
          </w:p>
        </w:tc>
      </w:tr>
      <w:tr w:rsidR="00FE7C73" w:rsidRPr="00525982" w14:paraId="4773FA61" w14:textId="77777777" w:rsidTr="003308E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349CBB83" w14:textId="0308AF23" w:rsidR="00FE7C73" w:rsidRPr="00FB41A2" w:rsidRDefault="00FE7C73" w:rsidP="00FE7C73">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Dinner sausage</w:t>
            </w:r>
          </w:p>
        </w:tc>
        <w:tc>
          <w:tcPr>
            <w:tcW w:w="995" w:type="dxa"/>
            <w:tcBorders>
              <w:top w:val="nil"/>
              <w:bottom w:val="nil"/>
            </w:tcBorders>
            <w:shd w:val="clear" w:color="auto" w:fill="D9D9D9" w:themeFill="background1" w:themeFillShade="D9"/>
            <w:vAlign w:val="center"/>
          </w:tcPr>
          <w:p w14:paraId="7BD25B37" w14:textId="2534333D"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521</w:t>
            </w:r>
            <w:r>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500249E3" w14:textId="6A055C98"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+3.3</w:t>
            </w:r>
            <w:r w:rsidR="00FE7C73"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02D95B84" w14:textId="26C9C022"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+3.6</w:t>
            </w:r>
            <w:r w:rsidR="00FE7C73"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67988675" w14:textId="40C4ACEF"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Dinner sausage</w:t>
            </w:r>
          </w:p>
        </w:tc>
        <w:tc>
          <w:tcPr>
            <w:tcW w:w="990" w:type="dxa"/>
            <w:tcBorders>
              <w:top w:val="nil"/>
              <w:bottom w:val="nil"/>
            </w:tcBorders>
            <w:shd w:val="clear" w:color="auto" w:fill="D9D9D9" w:themeFill="background1" w:themeFillShade="D9"/>
            <w:vAlign w:val="center"/>
          </w:tcPr>
          <w:p w14:paraId="616B167D" w14:textId="259FFEFC"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5704">
              <w:rPr>
                <w:rFonts w:ascii="Arial" w:hAnsi="Arial" w:cs="Arial"/>
                <w:bCs/>
                <w:color w:val="000000" w:themeColor="text1"/>
                <w:sz w:val="18"/>
                <w:szCs w:val="18"/>
              </w:rPr>
              <w:t>$</w:t>
            </w:r>
            <w:r>
              <w:rPr>
                <w:rFonts w:ascii="Arial" w:hAnsi="Arial" w:cs="Arial"/>
                <w:bCs/>
                <w:color w:val="000000" w:themeColor="text1"/>
                <w:sz w:val="18"/>
                <w:szCs w:val="18"/>
              </w:rPr>
              <w:t>5.6</w:t>
            </w:r>
            <w:r w:rsidRPr="000B5704">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644A9E09" w14:textId="2AE2BF49"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2.6</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D9DBD4D" w14:textId="3EC900E9"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3.2</w:t>
            </w:r>
            <w:r w:rsidRPr="007015E7">
              <w:rPr>
                <w:rFonts w:ascii="Arial" w:hAnsi="Arial" w:cs="Arial"/>
                <w:color w:val="000000" w:themeColor="text1"/>
                <w:sz w:val="18"/>
                <w:szCs w:val="18"/>
              </w:rPr>
              <w:t>%</w:t>
            </w:r>
          </w:p>
        </w:tc>
      </w:tr>
      <w:tr w:rsidR="00FE7C73" w:rsidRPr="00525982" w14:paraId="607E478D" w14:textId="77777777" w:rsidTr="003308E4">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38E74A3" w14:textId="4F6FAF02" w:rsidR="00FE7C73" w:rsidRPr="00FB41A2" w:rsidRDefault="00FE7C73" w:rsidP="00FE7C73">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Frankfurters</w:t>
            </w:r>
          </w:p>
        </w:tc>
        <w:tc>
          <w:tcPr>
            <w:tcW w:w="995" w:type="dxa"/>
            <w:tcBorders>
              <w:top w:val="nil"/>
              <w:bottom w:val="nil"/>
            </w:tcBorders>
            <w:vAlign w:val="center"/>
          </w:tcPr>
          <w:p w14:paraId="3B1D7971" w14:textId="3FB49529"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287</w:t>
            </w:r>
            <w:r>
              <w:rPr>
                <w:rFonts w:ascii="Arial" w:hAnsi="Arial" w:cs="Arial"/>
                <w:color w:val="000000" w:themeColor="text1"/>
                <w:sz w:val="18"/>
                <w:szCs w:val="18"/>
              </w:rPr>
              <w:t>M</w:t>
            </w:r>
          </w:p>
        </w:tc>
        <w:tc>
          <w:tcPr>
            <w:tcW w:w="1085" w:type="dxa"/>
            <w:gridSpan w:val="2"/>
            <w:tcBorders>
              <w:top w:val="nil"/>
              <w:bottom w:val="nil"/>
            </w:tcBorders>
            <w:vAlign w:val="center"/>
          </w:tcPr>
          <w:p w14:paraId="74C8B100" w14:textId="39E07957" w:rsidR="00FE7C73" w:rsidRPr="00FB41A2" w:rsidRDefault="00676259"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+6.1</w:t>
            </w:r>
            <w:r w:rsidR="00FE7C73"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23B3BBE" w14:textId="1F3625CC" w:rsidR="00FE7C73" w:rsidRPr="00FB41A2" w:rsidRDefault="00676259"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+1.6</w:t>
            </w:r>
            <w:r w:rsidR="00FE7C73"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456FD3D8" w14:textId="18052BA8"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Frankfurters</w:t>
            </w:r>
          </w:p>
        </w:tc>
        <w:tc>
          <w:tcPr>
            <w:tcW w:w="990" w:type="dxa"/>
            <w:tcBorders>
              <w:top w:val="nil"/>
              <w:bottom w:val="nil"/>
            </w:tcBorders>
            <w:vAlign w:val="center"/>
          </w:tcPr>
          <w:p w14:paraId="6E1EEDEB" w14:textId="2FE8656C"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B5704">
              <w:rPr>
                <w:rFonts w:ascii="Arial" w:hAnsi="Arial" w:cs="Arial"/>
                <w:bCs/>
                <w:color w:val="000000" w:themeColor="text1"/>
                <w:sz w:val="18"/>
                <w:szCs w:val="18"/>
              </w:rPr>
              <w:t>$</w:t>
            </w:r>
            <w:r>
              <w:rPr>
                <w:rFonts w:ascii="Arial" w:hAnsi="Arial" w:cs="Arial"/>
                <w:bCs/>
                <w:color w:val="000000" w:themeColor="text1"/>
                <w:sz w:val="18"/>
                <w:szCs w:val="18"/>
              </w:rPr>
              <w:t>3.2</w:t>
            </w:r>
            <w:r w:rsidRPr="000B5704">
              <w:rPr>
                <w:rFonts w:ascii="Arial" w:hAnsi="Arial" w:cs="Arial"/>
                <w:bCs/>
                <w:color w:val="000000" w:themeColor="text1"/>
                <w:sz w:val="18"/>
                <w:szCs w:val="18"/>
              </w:rPr>
              <w:t>B</w:t>
            </w:r>
          </w:p>
        </w:tc>
        <w:tc>
          <w:tcPr>
            <w:tcW w:w="1078" w:type="dxa"/>
            <w:tcBorders>
              <w:top w:val="nil"/>
              <w:bottom w:val="nil"/>
            </w:tcBorders>
            <w:vAlign w:val="center"/>
          </w:tcPr>
          <w:p w14:paraId="339A3227" w14:textId="50A5AFFE"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r w:rsidRPr="007015E7">
              <w:rPr>
                <w:rFonts w:ascii="Arial" w:hAnsi="Arial" w:cs="Arial"/>
                <w:color w:val="000000" w:themeColor="text1"/>
                <w:sz w:val="18"/>
                <w:szCs w:val="18"/>
              </w:rPr>
              <w:t>%</w:t>
            </w:r>
          </w:p>
        </w:tc>
        <w:tc>
          <w:tcPr>
            <w:tcW w:w="1355" w:type="dxa"/>
            <w:tcBorders>
              <w:top w:val="nil"/>
              <w:bottom w:val="nil"/>
            </w:tcBorders>
            <w:vAlign w:val="center"/>
          </w:tcPr>
          <w:p w14:paraId="3D82DDA8" w14:textId="445887E2"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-1.5</w:t>
            </w:r>
            <w:r w:rsidRPr="007015E7">
              <w:rPr>
                <w:rFonts w:ascii="Arial" w:hAnsi="Arial" w:cs="Arial"/>
                <w:color w:val="000000" w:themeColor="text1"/>
                <w:sz w:val="18"/>
                <w:szCs w:val="18"/>
              </w:rPr>
              <w:t>%</w:t>
            </w:r>
          </w:p>
        </w:tc>
      </w:tr>
      <w:tr w:rsidR="00FE7C73" w:rsidRPr="00525982" w14:paraId="7B3D0CC7" w14:textId="77777777" w:rsidTr="003308E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A274137" w14:textId="0DD2F075" w:rsidR="00FE7C73" w:rsidRPr="00FB41A2" w:rsidRDefault="00FE7C73" w:rsidP="00FE7C73">
            <w:pPr>
              <w:pStyle w:val="NoSpacing"/>
              <w:rPr>
                <w:rFonts w:ascii="Arial" w:hAnsi="Arial" w:cs="Arial"/>
                <w:color w:val="000000" w:themeColor="text1"/>
                <w:sz w:val="18"/>
                <w:szCs w:val="18"/>
              </w:rPr>
            </w:pPr>
            <w:r w:rsidRPr="00FB41A2">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vAlign w:val="center"/>
          </w:tcPr>
          <w:p w14:paraId="7EFDD3C3" w14:textId="4CD1A42A"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229</w:t>
            </w:r>
            <w:r>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6AB1D88C" w14:textId="40CF1568"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00FE7C73"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43CD64AD" w14:textId="11136419"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+0.2</w:t>
            </w:r>
            <w:r w:rsidR="00FE7C73"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399C1751" w14:textId="2878E73B"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Breakfast sausage</w:t>
            </w:r>
          </w:p>
        </w:tc>
        <w:tc>
          <w:tcPr>
            <w:tcW w:w="990" w:type="dxa"/>
            <w:tcBorders>
              <w:top w:val="nil"/>
              <w:bottom w:val="nil"/>
            </w:tcBorders>
            <w:shd w:val="clear" w:color="auto" w:fill="D9D9D9" w:themeFill="background1" w:themeFillShade="D9"/>
            <w:vAlign w:val="center"/>
          </w:tcPr>
          <w:p w14:paraId="3437496E" w14:textId="5BA0EFEE"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5704">
              <w:rPr>
                <w:rFonts w:ascii="Arial" w:hAnsi="Arial" w:cs="Arial"/>
                <w:bCs/>
                <w:color w:val="000000" w:themeColor="text1"/>
                <w:sz w:val="18"/>
                <w:szCs w:val="18"/>
              </w:rPr>
              <w:t>$</w:t>
            </w:r>
            <w:r>
              <w:rPr>
                <w:rFonts w:ascii="Arial" w:hAnsi="Arial" w:cs="Arial"/>
                <w:bCs/>
                <w:color w:val="000000" w:themeColor="text1"/>
                <w:sz w:val="18"/>
                <w:szCs w:val="18"/>
              </w:rPr>
              <w:t>2.4</w:t>
            </w:r>
            <w:r w:rsidRPr="000B5704">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4808D3FB" w14:textId="3D31F5D1"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2.2</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5B927EB" w14:textId="42F41E64" w:rsidR="00FE7C73" w:rsidRPr="0022537E"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1.6</w:t>
            </w:r>
            <w:r w:rsidRPr="007015E7">
              <w:rPr>
                <w:rFonts w:ascii="Arial" w:hAnsi="Arial" w:cs="Arial"/>
                <w:color w:val="000000" w:themeColor="text1"/>
                <w:sz w:val="18"/>
                <w:szCs w:val="18"/>
              </w:rPr>
              <w:t>%</w:t>
            </w:r>
          </w:p>
        </w:tc>
      </w:tr>
      <w:tr w:rsidR="00FE7C73" w:rsidRPr="00525982" w14:paraId="73CE52D6" w14:textId="77777777" w:rsidTr="003308E4">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0202726" w14:textId="7DAEC536" w:rsidR="00FE7C73" w:rsidRPr="00FB41A2" w:rsidRDefault="00FE7C73" w:rsidP="00FE7C73">
            <w:pPr>
              <w:pStyle w:val="NoSpacing"/>
              <w:rPr>
                <w:rFonts w:ascii="Arial" w:hAnsi="Arial" w:cs="Arial"/>
                <w:color w:val="000000" w:themeColor="text1"/>
                <w:sz w:val="18"/>
                <w:szCs w:val="18"/>
              </w:rPr>
            </w:pPr>
            <w:r w:rsidRPr="00FB41A2">
              <w:rPr>
                <w:rFonts w:ascii="Arial" w:hAnsi="Arial" w:cs="Arial"/>
                <w:b w:val="0"/>
                <w:color w:val="000000" w:themeColor="text1"/>
                <w:sz w:val="18"/>
                <w:szCs w:val="18"/>
              </w:rPr>
              <w:t>Smoked ham</w:t>
            </w:r>
          </w:p>
        </w:tc>
        <w:tc>
          <w:tcPr>
            <w:tcW w:w="995" w:type="dxa"/>
            <w:tcBorders>
              <w:top w:val="nil"/>
              <w:bottom w:val="nil"/>
            </w:tcBorders>
            <w:vAlign w:val="center"/>
          </w:tcPr>
          <w:p w14:paraId="1C8ADC8F" w14:textId="394868C4"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81</w:t>
            </w:r>
            <w:r>
              <w:rPr>
                <w:rFonts w:ascii="Arial" w:hAnsi="Arial" w:cs="Arial"/>
                <w:color w:val="000000" w:themeColor="text1"/>
                <w:sz w:val="18"/>
                <w:szCs w:val="18"/>
              </w:rPr>
              <w:t>M</w:t>
            </w:r>
          </w:p>
        </w:tc>
        <w:tc>
          <w:tcPr>
            <w:tcW w:w="1085" w:type="dxa"/>
            <w:gridSpan w:val="2"/>
            <w:tcBorders>
              <w:top w:val="nil"/>
              <w:bottom w:val="nil"/>
            </w:tcBorders>
            <w:vAlign w:val="center"/>
          </w:tcPr>
          <w:p w14:paraId="163C2841" w14:textId="0E5A883C" w:rsidR="00FE7C73" w:rsidRPr="00FB41A2" w:rsidRDefault="00676259"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w:t>
            </w:r>
            <w:r w:rsidR="00FE7C73"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1CE0F1F9" w14:textId="2F2B8F3E"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12.0</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7CAFA54F" w14:textId="21141E12" w:rsidR="00FE7C73" w:rsidRPr="00FB41A2"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Smoked ham</w:t>
            </w:r>
          </w:p>
        </w:tc>
        <w:tc>
          <w:tcPr>
            <w:tcW w:w="990" w:type="dxa"/>
            <w:tcBorders>
              <w:top w:val="nil"/>
              <w:bottom w:val="nil"/>
            </w:tcBorders>
            <w:vAlign w:val="center"/>
          </w:tcPr>
          <w:p w14:paraId="7965CF51" w14:textId="230FFCF3"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2537E">
              <w:rPr>
                <w:rFonts w:ascii="Arial" w:hAnsi="Arial" w:cs="Arial"/>
                <w:bCs/>
                <w:color w:val="000000" w:themeColor="text1"/>
                <w:sz w:val="18"/>
                <w:szCs w:val="18"/>
              </w:rPr>
              <w:t>$</w:t>
            </w:r>
            <w:r>
              <w:rPr>
                <w:rFonts w:ascii="Arial" w:hAnsi="Arial" w:cs="Arial"/>
                <w:bCs/>
                <w:color w:val="000000" w:themeColor="text1"/>
                <w:sz w:val="18"/>
                <w:szCs w:val="18"/>
              </w:rPr>
              <w:t>1.9</w:t>
            </w:r>
            <w:r w:rsidRPr="0022537E">
              <w:rPr>
                <w:rFonts w:ascii="Arial" w:hAnsi="Arial" w:cs="Arial"/>
                <w:bCs/>
                <w:color w:val="000000" w:themeColor="text1"/>
                <w:sz w:val="18"/>
                <w:szCs w:val="18"/>
              </w:rPr>
              <w:t>B</w:t>
            </w:r>
          </w:p>
        </w:tc>
        <w:tc>
          <w:tcPr>
            <w:tcW w:w="1078" w:type="dxa"/>
            <w:tcBorders>
              <w:top w:val="nil"/>
              <w:bottom w:val="nil"/>
            </w:tcBorders>
            <w:vAlign w:val="center"/>
          </w:tcPr>
          <w:p w14:paraId="51CF4DF0" w14:textId="4C9C52C9"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-2.9</w:t>
            </w:r>
            <w:r w:rsidRPr="007015E7">
              <w:rPr>
                <w:rFonts w:ascii="Arial" w:hAnsi="Arial" w:cs="Arial"/>
                <w:color w:val="000000" w:themeColor="text1"/>
                <w:sz w:val="18"/>
                <w:szCs w:val="18"/>
              </w:rPr>
              <w:t>%</w:t>
            </w:r>
          </w:p>
        </w:tc>
        <w:tc>
          <w:tcPr>
            <w:tcW w:w="1355" w:type="dxa"/>
            <w:tcBorders>
              <w:top w:val="nil"/>
              <w:bottom w:val="nil"/>
            </w:tcBorders>
            <w:vAlign w:val="center"/>
          </w:tcPr>
          <w:p w14:paraId="18EDBF3D" w14:textId="17170CA6" w:rsidR="00FE7C73" w:rsidRPr="0022537E" w:rsidRDefault="00FE7C73" w:rsidP="00FE7C7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-0.6</w:t>
            </w:r>
            <w:r w:rsidRPr="007015E7">
              <w:rPr>
                <w:rFonts w:ascii="Arial" w:hAnsi="Arial" w:cs="Arial"/>
                <w:color w:val="000000" w:themeColor="text1"/>
                <w:sz w:val="18"/>
                <w:szCs w:val="18"/>
              </w:rPr>
              <w:t>%</w:t>
            </w:r>
          </w:p>
        </w:tc>
      </w:tr>
      <w:tr w:rsidR="00FE7C73" w:rsidRPr="00525982" w14:paraId="30CC2DC3" w14:textId="77777777" w:rsidTr="003308E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1F162747" w14:textId="193B94CA" w:rsidR="00FE7C73" w:rsidRPr="00FB41A2" w:rsidRDefault="00FE7C73" w:rsidP="00FE7C73">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vAlign w:val="center"/>
          </w:tcPr>
          <w:p w14:paraId="2FED9920" w14:textId="19EE8E61"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80</w:t>
            </w:r>
            <w:r>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49181B4B" w14:textId="64C5F8E2"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+16.0</w:t>
            </w:r>
            <w:r w:rsidR="00FE7C73"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3CDBEEB4" w14:textId="757D09D1" w:rsidR="00FE7C73" w:rsidRPr="00FB41A2" w:rsidRDefault="00676259"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+18.6</w:t>
            </w:r>
            <w:r w:rsidR="00FE7C73"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C613CCA" w14:textId="163C1AA5"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Processed chicken</w:t>
            </w:r>
          </w:p>
        </w:tc>
        <w:tc>
          <w:tcPr>
            <w:tcW w:w="990" w:type="dxa"/>
            <w:tcBorders>
              <w:top w:val="nil"/>
              <w:bottom w:val="nil"/>
            </w:tcBorders>
            <w:shd w:val="clear" w:color="auto" w:fill="D9D9D9" w:themeFill="background1" w:themeFillShade="D9"/>
            <w:vAlign w:val="center"/>
          </w:tcPr>
          <w:p w14:paraId="19660394" w14:textId="1078C4D7"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62ACB">
              <w:rPr>
                <w:rFonts w:ascii="Arial" w:hAnsi="Arial" w:cs="Arial"/>
                <w:color w:val="000000" w:themeColor="text1"/>
                <w:sz w:val="18"/>
                <w:szCs w:val="18"/>
              </w:rPr>
              <w:t>$</w:t>
            </w:r>
            <w:r>
              <w:rPr>
                <w:rFonts w:ascii="Arial" w:hAnsi="Arial" w:cs="Arial"/>
                <w:color w:val="000000" w:themeColor="text1"/>
                <w:sz w:val="18"/>
                <w:szCs w:val="18"/>
              </w:rPr>
              <w:t>745</w:t>
            </w:r>
            <w:r w:rsidRPr="00244126">
              <w:rPr>
                <w:rFonts w:ascii="Arial" w:hAnsi="Arial" w:cs="Arial"/>
                <w:color w:val="000000" w:themeColor="text1"/>
                <w:sz w:val="18"/>
                <w:szCs w:val="18"/>
              </w:rPr>
              <w:t>M</w:t>
            </w:r>
          </w:p>
        </w:tc>
        <w:tc>
          <w:tcPr>
            <w:tcW w:w="1078" w:type="dxa"/>
            <w:tcBorders>
              <w:top w:val="nil"/>
              <w:bottom w:val="nil"/>
            </w:tcBorders>
            <w:shd w:val="clear" w:color="auto" w:fill="D9D9D9" w:themeFill="background1" w:themeFillShade="D9"/>
            <w:vAlign w:val="center"/>
          </w:tcPr>
          <w:p w14:paraId="79A3F158" w14:textId="6BC6D3A3"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-2.2</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216EC018" w14:textId="2E7FC14C" w:rsidR="00FE7C73" w:rsidRPr="00FB41A2" w:rsidRDefault="00FE7C73"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r w:rsidRPr="007015E7">
              <w:rPr>
                <w:rFonts w:ascii="Arial" w:hAnsi="Arial" w:cs="Arial"/>
                <w:color w:val="000000" w:themeColor="text1"/>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266F9BD5" w:rsidR="00963883" w:rsidRPr="00797BB8" w:rsidRDefault="00963883" w:rsidP="00963883">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Sour</w:t>
      </w:r>
      <w:r w:rsidR="005B62E8" w:rsidRPr="00797BB8">
        <w:rPr>
          <w:rFonts w:ascii="Arial" w:hAnsi="Arial" w:cs="Arial"/>
          <w:color w:val="7F7F7F" w:themeColor="text1" w:themeTint="80"/>
          <w:sz w:val="16"/>
          <w:szCs w:val="16"/>
        </w:rPr>
        <w:t xml:space="preserve">ce: </w:t>
      </w:r>
      <w:r w:rsidR="00FB48FE" w:rsidRPr="00797BB8">
        <w:rPr>
          <w:rFonts w:ascii="Arial" w:hAnsi="Arial" w:cs="Arial"/>
          <w:color w:val="7F7F7F" w:themeColor="text1" w:themeTint="80"/>
          <w:sz w:val="16"/>
          <w:szCs w:val="16"/>
        </w:rPr>
        <w:t>Circana</w:t>
      </w:r>
      <w:r w:rsidR="005B62E8" w:rsidRPr="00797BB8">
        <w:rPr>
          <w:rFonts w:ascii="Arial" w:hAnsi="Arial" w:cs="Arial"/>
          <w:color w:val="7F7F7F" w:themeColor="text1" w:themeTint="80"/>
          <w:sz w:val="16"/>
          <w:szCs w:val="16"/>
        </w:rPr>
        <w:t xml:space="preserve">, </w:t>
      </w:r>
      <w:r w:rsidR="009C03F9" w:rsidRPr="00797BB8">
        <w:rPr>
          <w:rFonts w:ascii="Arial" w:hAnsi="Arial" w:cs="Arial"/>
          <w:color w:val="7F7F7F" w:themeColor="text1" w:themeTint="80"/>
          <w:sz w:val="16"/>
          <w:szCs w:val="16"/>
        </w:rPr>
        <w:t xml:space="preserve">Integrated </w:t>
      </w:r>
      <w:r w:rsidR="007404C4" w:rsidRPr="00797BB8">
        <w:rPr>
          <w:rFonts w:ascii="Arial" w:hAnsi="Arial" w:cs="Arial"/>
          <w:color w:val="7F7F7F" w:themeColor="text1" w:themeTint="80"/>
          <w:sz w:val="16"/>
          <w:szCs w:val="16"/>
        </w:rPr>
        <w:t xml:space="preserve">Fresh, </w:t>
      </w:r>
      <w:r w:rsidR="005B62E8" w:rsidRPr="00797BB8">
        <w:rPr>
          <w:rFonts w:ascii="Arial" w:hAnsi="Arial" w:cs="Arial"/>
          <w:color w:val="7F7F7F" w:themeColor="text1" w:themeTint="80"/>
          <w:sz w:val="16"/>
          <w:szCs w:val="16"/>
        </w:rPr>
        <w:t xml:space="preserve">Total US, </w:t>
      </w:r>
      <w:r w:rsidR="00D85BA4">
        <w:rPr>
          <w:rFonts w:ascii="Arial" w:hAnsi="Arial" w:cs="Arial"/>
          <w:color w:val="7F7F7F" w:themeColor="text1" w:themeTint="80"/>
          <w:sz w:val="16"/>
          <w:szCs w:val="16"/>
        </w:rPr>
        <w:t>MULO+</w:t>
      </w:r>
    </w:p>
    <w:p w14:paraId="3AE91CB4" w14:textId="77777777" w:rsidR="00FB7738" w:rsidRDefault="00FB7738" w:rsidP="006A3BE6">
      <w:pPr>
        <w:pStyle w:val="NoSpacing"/>
        <w:rPr>
          <w:rFonts w:ascii="Arial" w:hAnsi="Arial" w:cs="Arial"/>
          <w:b/>
          <w:color w:val="595959" w:themeColor="text1" w:themeTint="A6"/>
          <w:sz w:val="24"/>
          <w:szCs w:val="24"/>
        </w:rPr>
      </w:pPr>
    </w:p>
    <w:p w14:paraId="6D1535A7" w14:textId="1984B004"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715E7C">
        <w:rPr>
          <w:rFonts w:ascii="Arial" w:eastAsia="Times New Roman" w:hAnsi="Arial" w:cs="Arial"/>
          <w:sz w:val="20"/>
          <w:szCs w:val="20"/>
        </w:rPr>
        <w:t>Ground bee</w:t>
      </w:r>
      <w:r w:rsidR="00A54264">
        <w:rPr>
          <w:rFonts w:ascii="Arial" w:eastAsia="Times New Roman" w:hAnsi="Arial" w:cs="Arial"/>
          <w:sz w:val="20"/>
          <w:szCs w:val="20"/>
        </w:rPr>
        <w:t>f had a</w:t>
      </w:r>
      <w:r w:rsidR="002A56DB">
        <w:rPr>
          <w:rFonts w:ascii="Arial" w:eastAsia="Times New Roman" w:hAnsi="Arial" w:cs="Arial"/>
          <w:sz w:val="20"/>
          <w:szCs w:val="20"/>
        </w:rPr>
        <w:t>nother enormous</w:t>
      </w:r>
      <w:r w:rsidR="00A54264">
        <w:rPr>
          <w:rFonts w:ascii="Arial" w:eastAsia="Times New Roman" w:hAnsi="Arial" w:cs="Arial"/>
          <w:sz w:val="20"/>
          <w:szCs w:val="20"/>
        </w:rPr>
        <w:t xml:space="preserve"> month, with $</w:t>
      </w:r>
      <w:r w:rsidR="00CD1F50">
        <w:rPr>
          <w:rFonts w:ascii="Arial" w:eastAsia="Times New Roman" w:hAnsi="Arial" w:cs="Arial"/>
          <w:sz w:val="20"/>
          <w:szCs w:val="20"/>
        </w:rPr>
        <w:t>1.</w:t>
      </w:r>
      <w:r w:rsidR="00676259">
        <w:rPr>
          <w:rFonts w:ascii="Arial" w:eastAsia="Times New Roman" w:hAnsi="Arial" w:cs="Arial"/>
          <w:sz w:val="20"/>
          <w:szCs w:val="20"/>
        </w:rPr>
        <w:t>6</w:t>
      </w:r>
      <w:r w:rsidR="00CD1F50">
        <w:rPr>
          <w:rFonts w:ascii="Arial" w:eastAsia="Times New Roman" w:hAnsi="Arial" w:cs="Arial"/>
          <w:sz w:val="20"/>
          <w:szCs w:val="20"/>
        </w:rPr>
        <w:t xml:space="preserve"> </w:t>
      </w:r>
      <w:r w:rsidR="00715E7C">
        <w:rPr>
          <w:rFonts w:ascii="Arial" w:eastAsia="Times New Roman" w:hAnsi="Arial" w:cs="Arial"/>
          <w:sz w:val="20"/>
          <w:szCs w:val="20"/>
        </w:rPr>
        <w:t xml:space="preserve">billion in sales during the </w:t>
      </w:r>
      <w:r w:rsidR="00094547">
        <w:rPr>
          <w:rFonts w:ascii="Arial" w:eastAsia="Times New Roman" w:hAnsi="Arial" w:cs="Arial"/>
          <w:sz w:val="20"/>
          <w:szCs w:val="20"/>
        </w:rPr>
        <w:t>f</w:t>
      </w:r>
      <w:r w:rsidR="00676259">
        <w:rPr>
          <w:rFonts w:ascii="Arial" w:eastAsia="Times New Roman" w:hAnsi="Arial" w:cs="Arial"/>
          <w:sz w:val="20"/>
          <w:szCs w:val="20"/>
        </w:rPr>
        <w:t>ive</w:t>
      </w:r>
      <w:r w:rsidR="00715E7C">
        <w:rPr>
          <w:rFonts w:ascii="Arial" w:eastAsia="Times New Roman" w:hAnsi="Arial" w:cs="Arial"/>
          <w:sz w:val="20"/>
          <w:szCs w:val="20"/>
        </w:rPr>
        <w:t xml:space="preserve"> </w:t>
      </w:r>
      <w:r w:rsidR="002B7BF3">
        <w:rPr>
          <w:rFonts w:ascii="Arial" w:eastAsia="Times New Roman" w:hAnsi="Arial" w:cs="Arial"/>
          <w:sz w:val="20"/>
          <w:szCs w:val="20"/>
        </w:rPr>
        <w:t xml:space="preserve">October </w:t>
      </w:r>
      <w:r w:rsidR="00715E7C">
        <w:rPr>
          <w:rFonts w:ascii="Arial" w:eastAsia="Times New Roman" w:hAnsi="Arial" w:cs="Arial"/>
          <w:sz w:val="20"/>
          <w:szCs w:val="20"/>
        </w:rPr>
        <w:t>weeks. This was an inc</w:t>
      </w:r>
      <w:r w:rsidR="00A54264">
        <w:rPr>
          <w:rFonts w:ascii="Arial" w:eastAsia="Times New Roman" w:hAnsi="Arial" w:cs="Arial"/>
          <w:sz w:val="20"/>
          <w:szCs w:val="20"/>
        </w:rPr>
        <w:t xml:space="preserve">rease of </w:t>
      </w:r>
      <w:r w:rsidR="00676259">
        <w:rPr>
          <w:rFonts w:ascii="Arial" w:eastAsia="Times New Roman" w:hAnsi="Arial" w:cs="Arial"/>
          <w:sz w:val="20"/>
          <w:szCs w:val="20"/>
        </w:rPr>
        <w:t>8.5</w:t>
      </w:r>
      <w:r w:rsidR="00A54264">
        <w:rPr>
          <w:rFonts w:ascii="Arial" w:eastAsia="Times New Roman" w:hAnsi="Arial" w:cs="Arial"/>
          <w:sz w:val="20"/>
          <w:szCs w:val="20"/>
        </w:rPr>
        <w:t xml:space="preserve">% in dollars and </w:t>
      </w:r>
      <w:r w:rsidR="00676259">
        <w:rPr>
          <w:rFonts w:ascii="Arial" w:eastAsia="Times New Roman" w:hAnsi="Arial" w:cs="Arial"/>
          <w:sz w:val="20"/>
          <w:szCs w:val="20"/>
        </w:rPr>
        <w:t>4.6</w:t>
      </w:r>
      <w:r w:rsidR="00715E7C">
        <w:rPr>
          <w:rFonts w:ascii="Arial" w:eastAsia="Times New Roman" w:hAnsi="Arial" w:cs="Arial"/>
          <w:sz w:val="20"/>
          <w:szCs w:val="20"/>
        </w:rPr>
        <w:t>% in pounds</w:t>
      </w:r>
      <w:r w:rsidR="002A56DB">
        <w:rPr>
          <w:rFonts w:ascii="Arial" w:eastAsia="Times New Roman" w:hAnsi="Arial" w:cs="Arial"/>
          <w:sz w:val="20"/>
          <w:szCs w:val="20"/>
        </w:rPr>
        <w:t xml:space="preserve"> versus </w:t>
      </w:r>
      <w:r w:rsidR="002B7BF3">
        <w:rPr>
          <w:rFonts w:ascii="Arial" w:eastAsia="Times New Roman" w:hAnsi="Arial" w:cs="Arial"/>
          <w:sz w:val="20"/>
          <w:szCs w:val="20"/>
        </w:rPr>
        <w:t xml:space="preserve">October </w:t>
      </w:r>
      <w:r w:rsidR="002A56DB">
        <w:rPr>
          <w:rFonts w:ascii="Arial" w:eastAsia="Times New Roman" w:hAnsi="Arial" w:cs="Arial"/>
          <w:sz w:val="20"/>
          <w:szCs w:val="20"/>
        </w:rPr>
        <w:t>2023</w:t>
      </w:r>
      <w:r w:rsidR="00715E7C">
        <w:rPr>
          <w:rFonts w:ascii="Arial" w:eastAsia="Times New Roman" w:hAnsi="Arial" w:cs="Arial"/>
          <w:sz w:val="20"/>
          <w:szCs w:val="20"/>
        </w:rPr>
        <w:t xml:space="preserve">. </w:t>
      </w:r>
      <w:r w:rsidR="002B7BF3">
        <w:rPr>
          <w:rFonts w:ascii="Arial" w:eastAsia="Times New Roman" w:hAnsi="Arial" w:cs="Arial"/>
          <w:sz w:val="20"/>
          <w:szCs w:val="20"/>
        </w:rPr>
        <w:t xml:space="preserve">Ground pork and veal were the only grinds that lost ground year-over-year. </w:t>
      </w:r>
      <w:r w:rsidR="002A56DB">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107"/>
        <w:gridCol w:w="883"/>
        <w:gridCol w:w="1277"/>
        <w:gridCol w:w="1333"/>
      </w:tblGrid>
      <w:tr w:rsidR="000134EB" w:rsidRPr="0003007F" w14:paraId="668C754B"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0" w:name="_Hlk137219473"/>
          </w:p>
        </w:tc>
        <w:tc>
          <w:tcPr>
            <w:tcW w:w="1744" w:type="dxa"/>
            <w:gridSpan w:val="3"/>
            <w:tcBorders>
              <w:top w:val="nil"/>
              <w:bottom w:val="nil"/>
            </w:tcBorders>
            <w:shd w:val="clear" w:color="auto" w:fill="17365D" w:themeFill="text2" w:themeFillShade="BF"/>
          </w:tcPr>
          <w:p w14:paraId="0F0287FF" w14:textId="4791C1F6" w:rsidR="000134EB" w:rsidRPr="00AB1306" w:rsidRDefault="000134EB" w:rsidP="000134E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89757F">
              <w:rPr>
                <w:rFonts w:ascii="Arial" w:hAnsi="Arial" w:cs="Arial"/>
                <w:color w:val="FFFFFF" w:themeColor="background1"/>
                <w:sz w:val="18"/>
                <w:szCs w:val="18"/>
              </w:rPr>
              <w:t xml:space="preserve">October </w:t>
            </w:r>
            <w:r w:rsidR="001F639F">
              <w:rPr>
                <w:rFonts w:ascii="Arial" w:hAnsi="Arial" w:cs="Arial"/>
                <w:color w:val="FFFFFF" w:themeColor="background1"/>
                <w:sz w:val="18"/>
                <w:szCs w:val="18"/>
              </w:rPr>
              <w:t>2024</w:t>
            </w:r>
          </w:p>
        </w:tc>
        <w:tc>
          <w:tcPr>
            <w:tcW w:w="3493" w:type="dxa"/>
            <w:gridSpan w:val="4"/>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3" w:type="dxa"/>
            <w:gridSpan w:val="3"/>
            <w:tcBorders>
              <w:top w:val="nil"/>
              <w:bottom w:val="nil"/>
            </w:tcBorders>
            <w:shd w:val="clear" w:color="auto" w:fill="17365D" w:themeFill="text2" w:themeFillShade="BF"/>
          </w:tcPr>
          <w:p w14:paraId="6A29F442" w14:textId="6C10F3D4" w:rsidR="000134EB" w:rsidRPr="0003007F"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DFB453A"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0DB7328C"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481AE167"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45FD4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7A11F32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1DAA8DD1"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tcPr>
          <w:p w14:paraId="330F52A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6DE1E42B"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346BCA" w:rsidRPr="00E363CB" w14:paraId="7C3DB727" w14:textId="77777777" w:rsidTr="005C43DB">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346BCA" w:rsidRPr="00FB41A2" w:rsidRDefault="00346BCA" w:rsidP="005C43DB">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1B23833C"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3FF1">
              <w:rPr>
                <w:rFonts w:ascii="Arial" w:hAnsi="Arial" w:cs="Arial"/>
                <w:color w:val="000000" w:themeColor="text1"/>
                <w:sz w:val="18"/>
                <w:szCs w:val="18"/>
              </w:rPr>
              <w:t>$</w:t>
            </w:r>
            <w:r w:rsidR="00676259">
              <w:rPr>
                <w:rFonts w:ascii="Arial" w:hAnsi="Arial" w:cs="Arial"/>
                <w:color w:val="000000" w:themeColor="text1"/>
                <w:sz w:val="18"/>
                <w:szCs w:val="18"/>
              </w:rPr>
              <w:t>1.55</w:t>
            </w:r>
            <w:r>
              <w:rPr>
                <w:rFonts w:ascii="Arial" w:hAnsi="Arial" w:cs="Arial"/>
                <w:color w:val="000000" w:themeColor="text1"/>
                <w:sz w:val="18"/>
                <w:szCs w:val="18"/>
              </w:rPr>
              <w:t>B</w:t>
            </w:r>
          </w:p>
        </w:tc>
        <w:tc>
          <w:tcPr>
            <w:tcW w:w="1075" w:type="dxa"/>
            <w:gridSpan w:val="2"/>
            <w:tcBorders>
              <w:top w:val="nil"/>
              <w:left w:val="nil"/>
              <w:bottom w:val="nil"/>
              <w:right w:val="nil"/>
            </w:tcBorders>
            <w:vAlign w:val="center"/>
          </w:tcPr>
          <w:p w14:paraId="2F6F5924" w14:textId="7836FC9F"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D4DFE">
              <w:rPr>
                <w:rFonts w:ascii="Arial" w:hAnsi="Arial" w:cs="Arial"/>
                <w:color w:val="000000" w:themeColor="text1"/>
                <w:sz w:val="18"/>
                <w:szCs w:val="18"/>
              </w:rPr>
              <w:t>+</w:t>
            </w:r>
            <w:r w:rsidR="00676259">
              <w:rPr>
                <w:rFonts w:ascii="Arial" w:hAnsi="Arial" w:cs="Arial"/>
                <w:color w:val="000000" w:themeColor="text1"/>
                <w:sz w:val="18"/>
                <w:szCs w:val="18"/>
              </w:rPr>
              <w:t>8.5</w:t>
            </w:r>
            <w:r w:rsidRPr="007D4DFE">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5704284F"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D4DFE">
              <w:rPr>
                <w:rFonts w:ascii="Arial" w:hAnsi="Arial" w:cs="Arial"/>
                <w:color w:val="000000" w:themeColor="text1"/>
                <w:sz w:val="18"/>
                <w:szCs w:val="18"/>
              </w:rPr>
              <w:t>+</w:t>
            </w:r>
            <w:r w:rsidR="00676259">
              <w:rPr>
                <w:rFonts w:ascii="Arial" w:hAnsi="Arial" w:cs="Arial"/>
                <w:color w:val="000000" w:themeColor="text1"/>
                <w:sz w:val="18"/>
                <w:szCs w:val="18"/>
              </w:rPr>
              <w:t>4.6</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7EA8213D" w14:textId="01F943D4" w:rsidR="00346BCA" w:rsidRPr="00FB41A2" w:rsidRDefault="00346BCA" w:rsidP="005C43D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Ground beef</w:t>
            </w:r>
          </w:p>
        </w:tc>
        <w:tc>
          <w:tcPr>
            <w:tcW w:w="990" w:type="dxa"/>
            <w:gridSpan w:val="2"/>
            <w:tcBorders>
              <w:top w:val="nil"/>
              <w:left w:val="nil"/>
              <w:bottom w:val="nil"/>
              <w:right w:val="nil"/>
            </w:tcBorders>
            <w:vAlign w:val="center"/>
          </w:tcPr>
          <w:p w14:paraId="13102BEE" w14:textId="7C59F884"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84327E">
              <w:rPr>
                <w:rFonts w:ascii="Arial" w:hAnsi="Arial" w:cs="Arial"/>
                <w:bCs/>
                <w:color w:val="000000" w:themeColor="text1"/>
                <w:sz w:val="18"/>
                <w:szCs w:val="18"/>
              </w:rPr>
              <w:t>1</w:t>
            </w:r>
            <w:r w:rsidR="002B7BF3">
              <w:rPr>
                <w:rFonts w:ascii="Arial" w:hAnsi="Arial" w:cs="Arial"/>
                <w:bCs/>
                <w:color w:val="000000" w:themeColor="text1"/>
                <w:sz w:val="18"/>
                <w:szCs w:val="18"/>
              </w:rPr>
              <w:t>5.1</w:t>
            </w:r>
            <w:r w:rsidRPr="00776D70">
              <w:rPr>
                <w:rFonts w:ascii="Arial" w:hAnsi="Arial" w:cs="Arial"/>
                <w:bCs/>
                <w:color w:val="000000" w:themeColor="text1"/>
                <w:sz w:val="18"/>
                <w:szCs w:val="18"/>
              </w:rPr>
              <w:t>B</w:t>
            </w:r>
          </w:p>
        </w:tc>
        <w:tc>
          <w:tcPr>
            <w:tcW w:w="1277" w:type="dxa"/>
            <w:tcBorders>
              <w:top w:val="nil"/>
              <w:left w:val="nil"/>
              <w:bottom w:val="nil"/>
              <w:right w:val="nil"/>
            </w:tcBorders>
            <w:vAlign w:val="center"/>
          </w:tcPr>
          <w:p w14:paraId="6E720C38" w14:textId="6B3906C3"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4327E">
              <w:rPr>
                <w:rFonts w:ascii="Arial" w:hAnsi="Arial" w:cs="Arial"/>
                <w:color w:val="000000" w:themeColor="text1"/>
                <w:sz w:val="18"/>
                <w:szCs w:val="18"/>
              </w:rPr>
              <w:t>9.</w:t>
            </w:r>
            <w:r w:rsidR="002B7BF3">
              <w:rPr>
                <w:rFonts w:ascii="Arial" w:hAnsi="Arial" w:cs="Arial"/>
                <w:color w:val="000000" w:themeColor="text1"/>
                <w:sz w:val="18"/>
                <w:szCs w:val="18"/>
              </w:rPr>
              <w:t>5</w:t>
            </w:r>
            <w:r w:rsidRPr="008C1FC9">
              <w:rPr>
                <w:rFonts w:ascii="Arial" w:hAnsi="Arial" w:cs="Arial"/>
                <w:color w:val="000000" w:themeColor="text1"/>
                <w:sz w:val="18"/>
                <w:szCs w:val="18"/>
              </w:rPr>
              <w:t>%</w:t>
            </w:r>
          </w:p>
        </w:tc>
        <w:tc>
          <w:tcPr>
            <w:tcW w:w="1333" w:type="dxa"/>
            <w:tcBorders>
              <w:top w:val="nil"/>
              <w:left w:val="nil"/>
              <w:bottom w:val="nil"/>
            </w:tcBorders>
            <w:vAlign w:val="center"/>
          </w:tcPr>
          <w:p w14:paraId="284BBA7B" w14:textId="54839A76" w:rsidR="00346BCA" w:rsidRPr="00FB41A2" w:rsidRDefault="00346BCA" w:rsidP="005C43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C1FC9">
              <w:rPr>
                <w:rFonts w:ascii="Arial" w:hAnsi="Arial" w:cs="Arial"/>
                <w:color w:val="000000" w:themeColor="text1"/>
                <w:sz w:val="18"/>
                <w:szCs w:val="18"/>
              </w:rPr>
              <w:t>+</w:t>
            </w:r>
            <w:r w:rsidR="002B7BF3">
              <w:rPr>
                <w:rFonts w:ascii="Arial" w:hAnsi="Arial" w:cs="Arial"/>
                <w:color w:val="000000" w:themeColor="text1"/>
                <w:sz w:val="18"/>
                <w:szCs w:val="18"/>
              </w:rPr>
              <w:t>3.1</w:t>
            </w:r>
            <w:r w:rsidRPr="008C1FC9">
              <w:rPr>
                <w:rFonts w:ascii="Arial" w:hAnsi="Arial" w:cs="Arial"/>
                <w:color w:val="000000" w:themeColor="text1"/>
                <w:sz w:val="18"/>
                <w:szCs w:val="18"/>
              </w:rPr>
              <w:t>%</w:t>
            </w:r>
          </w:p>
        </w:tc>
      </w:tr>
      <w:tr w:rsidR="0084327E" w:rsidRPr="00FB41A2" w14:paraId="2937B14D"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84327E" w:rsidRPr="00FB41A2" w:rsidRDefault="0084327E" w:rsidP="005C43DB">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7BB29B05"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6259">
              <w:rPr>
                <w:rFonts w:ascii="Arial" w:hAnsi="Arial" w:cs="Arial"/>
                <w:color w:val="000000" w:themeColor="text1"/>
                <w:sz w:val="18"/>
                <w:szCs w:val="18"/>
              </w:rPr>
              <w:t>194.6</w:t>
            </w:r>
            <w:r w:rsidRPr="00A263C0">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5DF1040" w14:textId="0D848D6D"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sidR="00676259">
              <w:rPr>
                <w:rFonts w:ascii="Arial" w:hAnsi="Arial" w:cs="Arial"/>
                <w:color w:val="000000" w:themeColor="text1"/>
                <w:sz w:val="18"/>
                <w:szCs w:val="18"/>
              </w:rPr>
              <w:t>2.3</w:t>
            </w:r>
            <w:r w:rsidRPr="007D4DFE">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54E68FB3"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sidR="00676259">
              <w:rPr>
                <w:rFonts w:ascii="Arial" w:hAnsi="Arial" w:cs="Arial"/>
                <w:color w:val="000000" w:themeColor="text1"/>
                <w:sz w:val="18"/>
                <w:szCs w:val="18"/>
              </w:rPr>
              <w:t>3.6</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63AEF9F" w14:textId="2332D2BC" w:rsidR="0084327E" w:rsidRPr="00FB41A2" w:rsidRDefault="0084327E" w:rsidP="005C43D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7E07A52A" w14:textId="5F1B5DB7"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2B7BF3">
              <w:rPr>
                <w:rFonts w:ascii="Arial" w:hAnsi="Arial" w:cs="Arial"/>
                <w:bCs/>
                <w:color w:val="000000" w:themeColor="text1"/>
                <w:sz w:val="18"/>
                <w:szCs w:val="18"/>
              </w:rPr>
              <w:t>1.9</w:t>
            </w:r>
            <w:r w:rsidRPr="00776D70">
              <w:rPr>
                <w:rFonts w:ascii="Arial" w:hAnsi="Arial" w:cs="Arial"/>
                <w:bCs/>
                <w:color w:val="000000" w:themeColor="text1"/>
                <w:sz w:val="18"/>
                <w:szCs w:val="18"/>
              </w:rPr>
              <w:t>B</w:t>
            </w:r>
          </w:p>
        </w:tc>
        <w:tc>
          <w:tcPr>
            <w:tcW w:w="1277" w:type="dxa"/>
            <w:tcBorders>
              <w:top w:val="nil"/>
              <w:bottom w:val="nil"/>
            </w:tcBorders>
            <w:shd w:val="clear" w:color="auto" w:fill="D9D9D9" w:themeFill="background1" w:themeFillShade="D9"/>
            <w:vAlign w:val="center"/>
          </w:tcPr>
          <w:p w14:paraId="06582683" w14:textId="37E45BB6"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E10FE">
              <w:rPr>
                <w:rFonts w:ascii="Arial" w:hAnsi="Arial" w:cs="Arial"/>
                <w:color w:val="000000" w:themeColor="text1"/>
                <w:sz w:val="18"/>
                <w:szCs w:val="18"/>
              </w:rPr>
              <w:t>+</w:t>
            </w:r>
            <w:r>
              <w:rPr>
                <w:rFonts w:ascii="Arial" w:hAnsi="Arial" w:cs="Arial"/>
                <w:color w:val="000000" w:themeColor="text1"/>
                <w:sz w:val="18"/>
                <w:szCs w:val="18"/>
              </w:rPr>
              <w:t>3.</w:t>
            </w:r>
            <w:r w:rsidR="002B7BF3">
              <w:rPr>
                <w:rFonts w:ascii="Arial" w:hAnsi="Arial" w:cs="Arial"/>
                <w:color w:val="000000" w:themeColor="text1"/>
                <w:sz w:val="18"/>
                <w:szCs w:val="18"/>
              </w:rPr>
              <w:t>8</w:t>
            </w:r>
            <w:r w:rsidRPr="003E10FE">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4878059A" w:rsidR="0084327E" w:rsidRPr="00FB41A2" w:rsidRDefault="0084327E" w:rsidP="005C43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Pr>
                <w:rFonts w:ascii="Arial" w:hAnsi="Arial" w:cs="Arial"/>
                <w:color w:val="000000" w:themeColor="text1"/>
                <w:sz w:val="18"/>
                <w:szCs w:val="18"/>
              </w:rPr>
              <w:t>5.</w:t>
            </w:r>
            <w:r w:rsidR="002B7BF3">
              <w:rPr>
                <w:rFonts w:ascii="Arial" w:hAnsi="Arial" w:cs="Arial"/>
                <w:color w:val="000000" w:themeColor="text1"/>
                <w:sz w:val="18"/>
                <w:szCs w:val="18"/>
              </w:rPr>
              <w:t>2</w:t>
            </w:r>
            <w:r w:rsidRPr="00A52D07">
              <w:rPr>
                <w:rFonts w:ascii="Arial" w:hAnsi="Arial" w:cs="Arial"/>
                <w:color w:val="000000" w:themeColor="text1"/>
                <w:sz w:val="18"/>
                <w:szCs w:val="18"/>
              </w:rPr>
              <w:t>%</w:t>
            </w:r>
          </w:p>
        </w:tc>
      </w:tr>
      <w:tr w:rsidR="00676259" w:rsidRPr="00525982" w14:paraId="748604F9" w14:textId="77777777" w:rsidTr="005C43D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676259" w:rsidRPr="00FB41A2" w:rsidRDefault="00676259" w:rsidP="00676259">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3AB7D418"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$32.2M</w:t>
            </w:r>
          </w:p>
        </w:tc>
        <w:tc>
          <w:tcPr>
            <w:tcW w:w="1075" w:type="dxa"/>
            <w:gridSpan w:val="2"/>
            <w:tcBorders>
              <w:top w:val="nil"/>
              <w:bottom w:val="nil"/>
            </w:tcBorders>
            <w:vAlign w:val="center"/>
          </w:tcPr>
          <w:p w14:paraId="0F7E8F8D" w14:textId="4457797A"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Pr>
                <w:rFonts w:ascii="Arial" w:hAnsi="Arial" w:cs="Arial"/>
                <w:color w:val="000000" w:themeColor="text1"/>
                <w:sz w:val="18"/>
                <w:szCs w:val="18"/>
              </w:rPr>
              <w:t>7.3</w:t>
            </w:r>
            <w:r w:rsidRPr="007D4DFE">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53BF0FB7"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Pr>
                <w:rFonts w:ascii="Arial" w:hAnsi="Arial" w:cs="Arial"/>
                <w:color w:val="000000" w:themeColor="text1"/>
                <w:sz w:val="18"/>
                <w:szCs w:val="18"/>
              </w:rPr>
              <w:t>7.2</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vAlign w:val="center"/>
          </w:tcPr>
          <w:p w14:paraId="45C147E0" w14:textId="6BAC8EA0" w:rsidR="00676259" w:rsidRPr="00FB41A2" w:rsidRDefault="00676259" w:rsidP="0067625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chicken</w:t>
            </w:r>
          </w:p>
        </w:tc>
        <w:tc>
          <w:tcPr>
            <w:tcW w:w="990" w:type="dxa"/>
            <w:gridSpan w:val="2"/>
            <w:tcBorders>
              <w:top w:val="nil"/>
              <w:bottom w:val="nil"/>
            </w:tcBorders>
            <w:vAlign w:val="center"/>
          </w:tcPr>
          <w:p w14:paraId="22EF3248" w14:textId="628E50A6"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Pr>
                <w:rFonts w:ascii="Arial" w:hAnsi="Arial" w:cs="Arial"/>
                <w:color w:val="000000" w:themeColor="text1"/>
                <w:sz w:val="18"/>
                <w:szCs w:val="18"/>
              </w:rPr>
              <w:t>323</w:t>
            </w:r>
            <w:r w:rsidRPr="00C076D8">
              <w:rPr>
                <w:rFonts w:ascii="Arial" w:hAnsi="Arial" w:cs="Arial"/>
                <w:color w:val="000000" w:themeColor="text1"/>
                <w:sz w:val="18"/>
                <w:szCs w:val="18"/>
              </w:rPr>
              <w:t>M</w:t>
            </w:r>
          </w:p>
        </w:tc>
        <w:tc>
          <w:tcPr>
            <w:tcW w:w="1277" w:type="dxa"/>
            <w:tcBorders>
              <w:top w:val="nil"/>
              <w:bottom w:val="nil"/>
            </w:tcBorders>
            <w:vAlign w:val="center"/>
          </w:tcPr>
          <w:p w14:paraId="4D68C47B" w14:textId="382A6AC0"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E10FE">
              <w:rPr>
                <w:rFonts w:ascii="Arial" w:hAnsi="Arial" w:cs="Arial"/>
                <w:color w:val="000000" w:themeColor="text1"/>
                <w:sz w:val="18"/>
                <w:szCs w:val="18"/>
              </w:rPr>
              <w:t>+</w:t>
            </w:r>
            <w:r>
              <w:rPr>
                <w:rFonts w:ascii="Arial" w:hAnsi="Arial" w:cs="Arial"/>
                <w:color w:val="000000" w:themeColor="text1"/>
                <w:sz w:val="18"/>
                <w:szCs w:val="18"/>
              </w:rPr>
              <w:t>8.6</w:t>
            </w:r>
            <w:r w:rsidRPr="003E10FE">
              <w:rPr>
                <w:rFonts w:ascii="Arial" w:hAnsi="Arial" w:cs="Arial"/>
                <w:color w:val="000000" w:themeColor="text1"/>
                <w:sz w:val="18"/>
                <w:szCs w:val="18"/>
              </w:rPr>
              <w:t>%</w:t>
            </w:r>
          </w:p>
        </w:tc>
        <w:tc>
          <w:tcPr>
            <w:tcW w:w="1333" w:type="dxa"/>
            <w:tcBorders>
              <w:top w:val="nil"/>
              <w:bottom w:val="nil"/>
            </w:tcBorders>
            <w:vAlign w:val="center"/>
          </w:tcPr>
          <w:p w14:paraId="474671BC" w14:textId="56BD4BB9"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Pr>
                <w:rFonts w:ascii="Arial" w:hAnsi="Arial" w:cs="Arial"/>
                <w:color w:val="000000" w:themeColor="text1"/>
                <w:sz w:val="18"/>
                <w:szCs w:val="18"/>
              </w:rPr>
              <w:t>8.3</w:t>
            </w:r>
            <w:r w:rsidRPr="00A52D07">
              <w:rPr>
                <w:rFonts w:ascii="Arial" w:hAnsi="Arial" w:cs="Arial"/>
                <w:color w:val="000000" w:themeColor="text1"/>
                <w:sz w:val="18"/>
                <w:szCs w:val="18"/>
              </w:rPr>
              <w:t>%</w:t>
            </w:r>
          </w:p>
        </w:tc>
      </w:tr>
      <w:tr w:rsidR="00676259" w:rsidRPr="00FB41A2" w14:paraId="22B1D63C"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676259" w:rsidRPr="00FB41A2" w:rsidRDefault="00676259" w:rsidP="00676259">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5EB03FD1"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$22.8M</w:t>
            </w:r>
          </w:p>
        </w:tc>
        <w:tc>
          <w:tcPr>
            <w:tcW w:w="1075" w:type="dxa"/>
            <w:gridSpan w:val="2"/>
            <w:tcBorders>
              <w:top w:val="nil"/>
              <w:bottom w:val="nil"/>
            </w:tcBorders>
            <w:shd w:val="clear" w:color="auto" w:fill="D9D9D9" w:themeFill="background1" w:themeFillShade="D9"/>
            <w:vAlign w:val="center"/>
          </w:tcPr>
          <w:p w14:paraId="2625E3CA" w14:textId="7D79F240"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-2.1</w:t>
            </w:r>
            <w:r w:rsidRPr="007D4DFE">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4FFDC67F"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-0.4</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256E6B65" w14:textId="026B8B23" w:rsidR="00676259" w:rsidRPr="00FB41A2" w:rsidRDefault="00676259" w:rsidP="0067625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181AD012" w14:textId="701C82F3"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Pr>
                <w:rFonts w:ascii="Arial" w:hAnsi="Arial" w:cs="Arial"/>
                <w:color w:val="000000" w:themeColor="text1"/>
                <w:sz w:val="18"/>
                <w:szCs w:val="18"/>
              </w:rPr>
              <w:t>227</w:t>
            </w:r>
            <w:r w:rsidRPr="00C076D8">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57ACF5DD" w14:textId="33AB4077"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E10FE">
              <w:rPr>
                <w:rFonts w:ascii="Arial" w:hAnsi="Arial" w:cs="Arial"/>
                <w:color w:val="000000" w:themeColor="text1"/>
                <w:sz w:val="18"/>
                <w:szCs w:val="18"/>
              </w:rPr>
              <w:t>+</w:t>
            </w:r>
            <w:r>
              <w:rPr>
                <w:rFonts w:ascii="Arial" w:hAnsi="Arial" w:cs="Arial"/>
                <w:color w:val="000000" w:themeColor="text1"/>
                <w:sz w:val="18"/>
                <w:szCs w:val="18"/>
              </w:rPr>
              <w:t>2.9</w:t>
            </w:r>
            <w:r w:rsidRPr="003E10FE">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405214D4"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Pr>
                <w:rFonts w:ascii="Arial" w:hAnsi="Arial" w:cs="Arial"/>
                <w:color w:val="000000" w:themeColor="text1"/>
                <w:sz w:val="18"/>
                <w:szCs w:val="18"/>
              </w:rPr>
              <w:t>3.1</w:t>
            </w:r>
            <w:r w:rsidRPr="00A52D07">
              <w:rPr>
                <w:rFonts w:ascii="Arial" w:hAnsi="Arial" w:cs="Arial"/>
                <w:color w:val="000000" w:themeColor="text1"/>
                <w:sz w:val="18"/>
                <w:szCs w:val="18"/>
              </w:rPr>
              <w:t>%</w:t>
            </w:r>
          </w:p>
        </w:tc>
      </w:tr>
      <w:tr w:rsidR="00676259" w:rsidRPr="00525982" w14:paraId="6A79E46F" w14:textId="77777777" w:rsidTr="005C43D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676259" w:rsidRPr="00FB41A2" w:rsidRDefault="00676259" w:rsidP="00676259">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195249FC"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$6.0M</w:t>
            </w:r>
          </w:p>
        </w:tc>
        <w:tc>
          <w:tcPr>
            <w:tcW w:w="1075" w:type="dxa"/>
            <w:gridSpan w:val="2"/>
            <w:tcBorders>
              <w:top w:val="nil"/>
              <w:left w:val="nil"/>
              <w:bottom w:val="nil"/>
              <w:right w:val="nil"/>
            </w:tcBorders>
            <w:vAlign w:val="center"/>
          </w:tcPr>
          <w:p w14:paraId="0ED96580" w14:textId="39B1A618"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Pr>
                <w:rFonts w:ascii="Arial" w:hAnsi="Arial" w:cs="Arial"/>
                <w:color w:val="000000" w:themeColor="text1"/>
                <w:sz w:val="18"/>
                <w:szCs w:val="18"/>
              </w:rPr>
              <w:t>15.1</w:t>
            </w:r>
            <w:r w:rsidRPr="007D4DFE">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2B754F5B"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Pr>
                <w:rFonts w:ascii="Arial" w:hAnsi="Arial" w:cs="Arial"/>
                <w:color w:val="000000" w:themeColor="text1"/>
                <w:sz w:val="18"/>
                <w:szCs w:val="18"/>
              </w:rPr>
              <w:t>15.0</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33B65AC5" w14:textId="221080C5" w:rsidR="00676259" w:rsidRPr="00FB41A2" w:rsidRDefault="00676259" w:rsidP="0067625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lamb</w:t>
            </w:r>
          </w:p>
        </w:tc>
        <w:tc>
          <w:tcPr>
            <w:tcW w:w="990" w:type="dxa"/>
            <w:gridSpan w:val="2"/>
            <w:tcBorders>
              <w:top w:val="nil"/>
              <w:left w:val="nil"/>
              <w:bottom w:val="nil"/>
              <w:right w:val="nil"/>
            </w:tcBorders>
            <w:vAlign w:val="center"/>
          </w:tcPr>
          <w:p w14:paraId="75C50C28" w14:textId="3DD0A718"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Pr>
                <w:rFonts w:ascii="Arial" w:hAnsi="Arial" w:cs="Arial"/>
                <w:color w:val="000000" w:themeColor="text1"/>
                <w:sz w:val="18"/>
                <w:szCs w:val="18"/>
              </w:rPr>
              <w:t>51</w:t>
            </w:r>
            <w:r w:rsidRPr="00C076D8">
              <w:rPr>
                <w:rFonts w:ascii="Arial" w:hAnsi="Arial" w:cs="Arial"/>
                <w:color w:val="000000" w:themeColor="text1"/>
                <w:sz w:val="18"/>
                <w:szCs w:val="18"/>
              </w:rPr>
              <w:t>M</w:t>
            </w:r>
          </w:p>
        </w:tc>
        <w:tc>
          <w:tcPr>
            <w:tcW w:w="1277" w:type="dxa"/>
            <w:tcBorders>
              <w:top w:val="nil"/>
              <w:left w:val="nil"/>
              <w:bottom w:val="nil"/>
              <w:right w:val="nil"/>
            </w:tcBorders>
            <w:vAlign w:val="center"/>
          </w:tcPr>
          <w:p w14:paraId="23705D82" w14:textId="485F994C"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+3.1</w:t>
            </w:r>
            <w:r w:rsidRPr="008C1FC9">
              <w:rPr>
                <w:rFonts w:ascii="Arial" w:hAnsi="Arial" w:cs="Arial"/>
                <w:color w:val="000000" w:themeColor="text1"/>
                <w:sz w:val="18"/>
                <w:szCs w:val="18"/>
              </w:rPr>
              <w:t>%</w:t>
            </w:r>
          </w:p>
        </w:tc>
        <w:tc>
          <w:tcPr>
            <w:tcW w:w="1333" w:type="dxa"/>
            <w:tcBorders>
              <w:top w:val="nil"/>
              <w:left w:val="nil"/>
              <w:bottom w:val="nil"/>
            </w:tcBorders>
            <w:vAlign w:val="center"/>
          </w:tcPr>
          <w:p w14:paraId="28C00B2F" w14:textId="1B546810" w:rsidR="00676259" w:rsidRPr="00FB41A2" w:rsidRDefault="00676259" w:rsidP="006762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w:t>
            </w:r>
            <w:r w:rsidRPr="008C1FC9">
              <w:rPr>
                <w:rFonts w:ascii="Arial" w:hAnsi="Arial" w:cs="Arial"/>
                <w:color w:val="000000" w:themeColor="text1"/>
                <w:sz w:val="18"/>
                <w:szCs w:val="18"/>
              </w:rPr>
              <w:t>%</w:t>
            </w:r>
          </w:p>
        </w:tc>
      </w:tr>
      <w:tr w:rsidR="00676259" w:rsidRPr="00FB41A2" w14:paraId="5A862543"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676259" w:rsidRPr="00FB41A2" w:rsidRDefault="00676259" w:rsidP="00676259">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4839B9CB"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$1.0</w:t>
            </w:r>
            <w:r w:rsidRPr="00A263C0">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0D91B098" w14:textId="6DEDA2EA"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D4DFE">
              <w:rPr>
                <w:rFonts w:ascii="Arial" w:hAnsi="Arial" w:cs="Arial"/>
                <w:color w:val="000000" w:themeColor="text1"/>
                <w:sz w:val="18"/>
                <w:szCs w:val="18"/>
              </w:rPr>
              <w:t>+</w:t>
            </w:r>
            <w:r>
              <w:rPr>
                <w:rFonts w:ascii="Arial" w:hAnsi="Arial" w:cs="Arial"/>
                <w:color w:val="000000" w:themeColor="text1"/>
                <w:sz w:val="18"/>
                <w:szCs w:val="18"/>
              </w:rPr>
              <w:t>0.3</w:t>
            </w:r>
            <w:r w:rsidRPr="007D4DFE">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4BB678D6"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-6.9</w:t>
            </w:r>
            <w:r w:rsidRPr="007D4DFE">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16BA0FC" w14:textId="6DE6D024" w:rsidR="00676259" w:rsidRPr="00FB41A2" w:rsidRDefault="00676259" w:rsidP="0067625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590BAB2D" w14:textId="74E72F8E"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3BE7">
              <w:rPr>
                <w:rFonts w:ascii="Arial" w:hAnsi="Arial" w:cs="Arial"/>
                <w:color w:val="000000" w:themeColor="text1"/>
                <w:sz w:val="18"/>
                <w:szCs w:val="18"/>
              </w:rPr>
              <w:t>$</w:t>
            </w:r>
            <w:r>
              <w:rPr>
                <w:rFonts w:ascii="Arial" w:hAnsi="Arial" w:cs="Arial"/>
                <w:color w:val="000000" w:themeColor="text1"/>
                <w:sz w:val="18"/>
                <w:szCs w:val="18"/>
              </w:rPr>
              <w:t>9.5</w:t>
            </w:r>
            <w:r w:rsidRPr="00FE3BE7">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2FB2D010" w14:textId="5A0C5FA6"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-7.7</w:t>
            </w:r>
            <w:r w:rsidRPr="008C1FC9">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3DBAB28C" w:rsidR="00676259" w:rsidRPr="00FB41A2" w:rsidRDefault="00676259" w:rsidP="006762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-16.5</w:t>
            </w:r>
            <w:r w:rsidRPr="008C1FC9">
              <w:rPr>
                <w:rFonts w:ascii="Arial" w:hAnsi="Arial" w:cs="Arial"/>
                <w:color w:val="000000" w:themeColor="text1"/>
                <w:sz w:val="18"/>
                <w:szCs w:val="18"/>
              </w:rPr>
              <w:t>%</w:t>
            </w:r>
          </w:p>
        </w:tc>
      </w:tr>
      <w:bookmarkEnd w:id="10"/>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r w:rsidR="00FB48FE" w:rsidRPr="00797BB8">
        <w:rPr>
          <w:rFonts w:ascii="Arial" w:hAnsi="Arial" w:cs="Arial"/>
          <w:color w:val="7F7F7F" w:themeColor="text1" w:themeTint="80"/>
          <w:sz w:val="16"/>
          <w:szCs w:val="16"/>
        </w:rPr>
        <w:t>Circana</w:t>
      </w:r>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Pr="00CA62D6" w:rsidRDefault="00F44177" w:rsidP="00F44177">
      <w:pPr>
        <w:pStyle w:val="NoSpacing"/>
        <w:rPr>
          <w:rFonts w:ascii="Arial" w:hAnsi="Arial" w:cs="Arial"/>
          <w:b/>
          <w:color w:val="595959" w:themeColor="text1" w:themeTint="A6"/>
          <w:sz w:val="28"/>
          <w:szCs w:val="32"/>
        </w:rPr>
      </w:pPr>
    </w:p>
    <w:p w14:paraId="42AB96A0" w14:textId="77777777" w:rsidR="00720067" w:rsidRPr="003D2C85" w:rsidRDefault="00720067" w:rsidP="00720067">
      <w:pPr>
        <w:pStyle w:val="NoSpacing"/>
        <w:rPr>
          <w:rFonts w:ascii="Arial" w:hAnsi="Arial" w:cs="Arial"/>
          <w:b/>
          <w:color w:val="595959" w:themeColor="text1" w:themeTint="A6"/>
          <w:sz w:val="24"/>
          <w:szCs w:val="24"/>
        </w:rPr>
      </w:pPr>
      <w:bookmarkStart w:id="11" w:name="_Hlk158538735"/>
      <w:bookmarkStart w:id="12" w:name="_Hlk160971988"/>
      <w:bookmarkStart w:id="13" w:name="_Hlk166235219"/>
      <w:bookmarkStart w:id="14" w:name="_Hlk121583547"/>
      <w:bookmarkStart w:id="15" w:name="_Hlk116291245"/>
      <w:bookmarkStart w:id="16" w:name="_Hlk79236872"/>
      <w:r w:rsidRPr="003D2C85">
        <w:rPr>
          <w:rFonts w:ascii="Arial" w:hAnsi="Arial" w:cs="Arial"/>
          <w:b/>
          <w:color w:val="595959" w:themeColor="text1" w:themeTint="A6"/>
          <w:sz w:val="24"/>
          <w:szCs w:val="24"/>
        </w:rPr>
        <w:t>What’s Next?</w:t>
      </w:r>
    </w:p>
    <w:p w14:paraId="5AA1536B" w14:textId="6438E619" w:rsidR="002B7BF3" w:rsidRPr="00087BA5" w:rsidRDefault="002B7BF3" w:rsidP="002B7BF3">
      <w:pPr>
        <w:pStyle w:val="NoSpacing"/>
        <w:rPr>
          <w:rFonts w:ascii="Arial" w:hAnsi="Arial" w:cs="Arial"/>
          <w:sz w:val="20"/>
          <w:szCs w:val="20"/>
        </w:rPr>
      </w:pPr>
      <w:bookmarkStart w:id="17" w:name="_Hlk174047522"/>
      <w:bookmarkEnd w:id="11"/>
      <w:bookmarkEnd w:id="12"/>
      <w:bookmarkEnd w:id="13"/>
      <w:r w:rsidRPr="00087BA5">
        <w:rPr>
          <w:rFonts w:ascii="Arial" w:hAnsi="Arial" w:cs="Arial"/>
          <w:sz w:val="20"/>
          <w:szCs w:val="20"/>
        </w:rPr>
        <w:t xml:space="preserve">The two biggest holidays of the year are upon us. Here are some of the big takeaways from </w:t>
      </w:r>
      <w:r>
        <w:rPr>
          <w:rFonts w:ascii="Arial" w:hAnsi="Arial" w:cs="Arial"/>
          <w:sz w:val="20"/>
          <w:szCs w:val="20"/>
        </w:rPr>
        <w:t>Thanksgiving</w:t>
      </w:r>
      <w:r w:rsidR="00297E8F">
        <w:rPr>
          <w:rFonts w:ascii="Arial" w:hAnsi="Arial" w:cs="Arial"/>
          <w:sz w:val="20"/>
          <w:szCs w:val="20"/>
        </w:rPr>
        <w:t xml:space="preserve"> 2023</w:t>
      </w:r>
      <w:r w:rsidRPr="00087BA5">
        <w:rPr>
          <w:rFonts w:ascii="Arial" w:hAnsi="Arial" w:cs="Arial"/>
          <w:sz w:val="20"/>
          <w:szCs w:val="20"/>
        </w:rPr>
        <w:t>:</w:t>
      </w:r>
    </w:p>
    <w:p w14:paraId="7A0A0570" w14:textId="77777777" w:rsidR="002B7BF3" w:rsidRPr="00087BA5" w:rsidRDefault="002B7BF3" w:rsidP="002B7BF3">
      <w:pPr>
        <w:pStyle w:val="NoSpacing"/>
        <w:numPr>
          <w:ilvl w:val="0"/>
          <w:numId w:val="24"/>
        </w:numPr>
        <w:rPr>
          <w:rFonts w:ascii="Arial" w:hAnsi="Arial" w:cs="Arial"/>
          <w:sz w:val="20"/>
          <w:szCs w:val="20"/>
        </w:rPr>
      </w:pPr>
      <w:r w:rsidRPr="00087BA5">
        <w:rPr>
          <w:rFonts w:ascii="Arial" w:hAnsi="Arial" w:cs="Arial"/>
          <w:sz w:val="20"/>
          <w:szCs w:val="20"/>
        </w:rPr>
        <w:t>Thanksgiving is the second-largest holiday of the year, behind only Christmas</w:t>
      </w:r>
      <w:r>
        <w:rPr>
          <w:rFonts w:ascii="Arial" w:hAnsi="Arial" w:cs="Arial"/>
          <w:sz w:val="20"/>
          <w:szCs w:val="20"/>
        </w:rPr>
        <w:t xml:space="preserve">. The </w:t>
      </w:r>
      <w:r w:rsidRPr="00087BA5">
        <w:rPr>
          <w:rFonts w:ascii="Arial" w:hAnsi="Arial" w:cs="Arial"/>
          <w:sz w:val="20"/>
          <w:szCs w:val="20"/>
        </w:rPr>
        <w:t>two weeks leading up to</w:t>
      </w:r>
      <w:r>
        <w:rPr>
          <w:rFonts w:ascii="Arial" w:hAnsi="Arial" w:cs="Arial"/>
          <w:sz w:val="20"/>
          <w:szCs w:val="20"/>
        </w:rPr>
        <w:t xml:space="preserve"> Thanksgiving 2023</w:t>
      </w:r>
      <w:r w:rsidRPr="00087BA5">
        <w:rPr>
          <w:rFonts w:ascii="Arial" w:hAnsi="Arial" w:cs="Arial"/>
          <w:sz w:val="20"/>
          <w:szCs w:val="20"/>
        </w:rPr>
        <w:t xml:space="preserve"> reflect</w:t>
      </w:r>
      <w:r>
        <w:rPr>
          <w:rFonts w:ascii="Arial" w:hAnsi="Arial" w:cs="Arial"/>
          <w:sz w:val="20"/>
          <w:szCs w:val="20"/>
        </w:rPr>
        <w:t>ed</w:t>
      </w:r>
      <w:r w:rsidRPr="00087BA5">
        <w:rPr>
          <w:rFonts w:ascii="Arial" w:hAnsi="Arial" w:cs="Arial"/>
          <w:sz w:val="20"/>
          <w:szCs w:val="20"/>
        </w:rPr>
        <w:t xml:space="preserve"> a sales lift of $2.4 billion (+6%) versus the average week</w:t>
      </w:r>
      <w:r>
        <w:rPr>
          <w:rFonts w:ascii="Arial" w:hAnsi="Arial" w:cs="Arial"/>
          <w:sz w:val="20"/>
          <w:szCs w:val="20"/>
        </w:rPr>
        <w:t>ly</w:t>
      </w:r>
      <w:r w:rsidRPr="00087BA5">
        <w:rPr>
          <w:rFonts w:ascii="Arial" w:hAnsi="Arial" w:cs="Arial"/>
          <w:sz w:val="20"/>
          <w:szCs w:val="20"/>
        </w:rPr>
        <w:t xml:space="preserve"> sales</w:t>
      </w:r>
      <w:r>
        <w:rPr>
          <w:rFonts w:ascii="Arial" w:hAnsi="Arial" w:cs="Arial"/>
          <w:sz w:val="20"/>
          <w:szCs w:val="20"/>
        </w:rPr>
        <w:t xml:space="preserve"> throughout the year</w:t>
      </w:r>
      <w:r w:rsidRPr="00087BA5">
        <w:rPr>
          <w:rFonts w:ascii="Arial" w:hAnsi="Arial" w:cs="Arial"/>
          <w:sz w:val="20"/>
          <w:szCs w:val="20"/>
        </w:rPr>
        <w:t xml:space="preserve">. </w:t>
      </w:r>
    </w:p>
    <w:p w14:paraId="6D7F8F9F" w14:textId="77777777" w:rsidR="002B7BF3" w:rsidRPr="00087BA5" w:rsidRDefault="002B7BF3" w:rsidP="002B7BF3">
      <w:pPr>
        <w:pStyle w:val="NoSpacing"/>
        <w:numPr>
          <w:ilvl w:val="0"/>
          <w:numId w:val="24"/>
        </w:numPr>
        <w:rPr>
          <w:rFonts w:ascii="Arial" w:hAnsi="Arial" w:cs="Arial"/>
          <w:sz w:val="20"/>
          <w:szCs w:val="20"/>
        </w:rPr>
      </w:pPr>
      <w:r w:rsidRPr="00087BA5">
        <w:rPr>
          <w:rFonts w:ascii="Arial" w:hAnsi="Arial" w:cs="Arial"/>
          <w:sz w:val="20"/>
          <w:szCs w:val="20"/>
        </w:rPr>
        <w:t>The week leading up to and the week of the holiday account for 82% of the Thanksgiving sales uplift. Yet, early purchases can lead to repeat purchase</w:t>
      </w:r>
      <w:r>
        <w:rPr>
          <w:rFonts w:ascii="Arial" w:hAnsi="Arial" w:cs="Arial"/>
          <w:sz w:val="20"/>
          <w:szCs w:val="20"/>
        </w:rPr>
        <w:t>s</w:t>
      </w:r>
      <w:r w:rsidRPr="00087BA5">
        <w:rPr>
          <w:rFonts w:ascii="Arial" w:hAnsi="Arial" w:cs="Arial"/>
          <w:sz w:val="20"/>
          <w:szCs w:val="20"/>
        </w:rPr>
        <w:t xml:space="preserve"> and incremental items.</w:t>
      </w:r>
    </w:p>
    <w:p w14:paraId="51B5C35E" w14:textId="77777777" w:rsidR="002B7BF3" w:rsidRPr="00087BA5" w:rsidRDefault="002B7BF3" w:rsidP="002B7BF3">
      <w:pPr>
        <w:pStyle w:val="NoSpacing"/>
        <w:numPr>
          <w:ilvl w:val="0"/>
          <w:numId w:val="24"/>
        </w:numPr>
        <w:rPr>
          <w:rFonts w:ascii="Arial" w:hAnsi="Arial" w:cs="Arial"/>
          <w:sz w:val="20"/>
          <w:szCs w:val="20"/>
        </w:rPr>
      </w:pPr>
      <w:r w:rsidRPr="00087BA5">
        <w:rPr>
          <w:rFonts w:ascii="Arial" w:hAnsi="Arial" w:cs="Arial"/>
          <w:sz w:val="20"/>
          <w:szCs w:val="20"/>
        </w:rPr>
        <w:t xml:space="preserve">Retailers increased the number of promotions for typical Thanksgiving basket items, but the depth of the discounts in 2023 was </w:t>
      </w:r>
      <w:r>
        <w:rPr>
          <w:rFonts w:ascii="Arial" w:hAnsi="Arial" w:cs="Arial"/>
          <w:sz w:val="20"/>
          <w:szCs w:val="20"/>
        </w:rPr>
        <w:t xml:space="preserve">just a few </w:t>
      </w:r>
      <w:r w:rsidRPr="00087BA5">
        <w:rPr>
          <w:rFonts w:ascii="Arial" w:hAnsi="Arial" w:cs="Arial"/>
          <w:sz w:val="20"/>
          <w:szCs w:val="20"/>
        </w:rPr>
        <w:t>percentage points higher than the discounts seen throughout the year.</w:t>
      </w:r>
      <w:r>
        <w:rPr>
          <w:rFonts w:ascii="Arial" w:hAnsi="Arial" w:cs="Arial"/>
          <w:sz w:val="20"/>
          <w:szCs w:val="20"/>
        </w:rPr>
        <w:t xml:space="preserve"> Leveraging s</w:t>
      </w:r>
      <w:r w:rsidRPr="00087BA5">
        <w:rPr>
          <w:rFonts w:ascii="Arial" w:hAnsi="Arial" w:cs="Arial"/>
          <w:sz w:val="20"/>
          <w:szCs w:val="20"/>
        </w:rPr>
        <w:t xml:space="preserve">econdary locations can help </w:t>
      </w:r>
      <w:r>
        <w:rPr>
          <w:rFonts w:ascii="Arial" w:hAnsi="Arial" w:cs="Arial"/>
          <w:sz w:val="20"/>
          <w:szCs w:val="20"/>
        </w:rPr>
        <w:t>optimize</w:t>
      </w:r>
      <w:r w:rsidRPr="00087BA5">
        <w:rPr>
          <w:rFonts w:ascii="Arial" w:hAnsi="Arial" w:cs="Arial"/>
          <w:sz w:val="20"/>
          <w:szCs w:val="20"/>
        </w:rPr>
        <w:t xml:space="preserve"> the purchase.  </w:t>
      </w:r>
    </w:p>
    <w:p w14:paraId="762A5355" w14:textId="6838348F" w:rsidR="002B7BF3" w:rsidRPr="00297E8F" w:rsidRDefault="002B7BF3" w:rsidP="0099502C">
      <w:pPr>
        <w:pStyle w:val="NoSpacing"/>
        <w:numPr>
          <w:ilvl w:val="0"/>
          <w:numId w:val="24"/>
        </w:numPr>
        <w:rPr>
          <w:rFonts w:ascii="Arial" w:hAnsi="Arial" w:cs="Arial"/>
          <w:sz w:val="20"/>
          <w:szCs w:val="20"/>
        </w:rPr>
      </w:pPr>
      <w:r w:rsidRPr="00297E8F">
        <w:rPr>
          <w:rFonts w:ascii="Arial" w:hAnsi="Arial" w:cs="Arial"/>
          <w:sz w:val="20"/>
          <w:szCs w:val="20"/>
        </w:rPr>
        <w:t xml:space="preserve">Nearly 80% of the main Thanksgiving meal is completely homemade, and 34% of respondents ​in </w:t>
      </w:r>
      <w:proofErr w:type="spellStart"/>
      <w:r w:rsidRPr="00297E8F">
        <w:rPr>
          <w:rFonts w:ascii="Arial" w:hAnsi="Arial" w:cs="Arial"/>
          <w:sz w:val="20"/>
          <w:szCs w:val="20"/>
        </w:rPr>
        <w:t>Circana’s</w:t>
      </w:r>
      <w:proofErr w:type="spellEnd"/>
      <w:r w:rsidRPr="00297E8F">
        <w:rPr>
          <w:rFonts w:ascii="Arial" w:hAnsi="Arial" w:cs="Arial"/>
          <w:sz w:val="20"/>
          <w:szCs w:val="20"/>
        </w:rPr>
        <w:t xml:space="preserve"> survey of primary shoppers say they expect to pay more for Thanksgiving groceries but will purchase the same amount this year.​</w:t>
      </w:r>
    </w:p>
    <w:p w14:paraId="7E9CF455" w14:textId="16A5EAB8" w:rsidR="001743F4" w:rsidRPr="00CA62D6" w:rsidRDefault="002B7BF3" w:rsidP="00297E8F">
      <w:pPr>
        <w:pStyle w:val="NoSpacing"/>
        <w:numPr>
          <w:ilvl w:val="0"/>
          <w:numId w:val="24"/>
        </w:numPr>
        <w:rPr>
          <w:rFonts w:ascii="Arial" w:hAnsi="Arial" w:cs="Arial"/>
          <w:sz w:val="18"/>
          <w:szCs w:val="20"/>
        </w:rPr>
      </w:pPr>
      <w:r>
        <w:rPr>
          <w:rFonts w:ascii="Arial" w:hAnsi="Arial" w:cs="Arial"/>
          <w:sz w:val="20"/>
          <w:szCs w:val="20"/>
        </w:rPr>
        <w:t xml:space="preserve">Today’s prices for the </w:t>
      </w:r>
      <w:r w:rsidRPr="00087BA5">
        <w:rPr>
          <w:rFonts w:ascii="Arial" w:hAnsi="Arial" w:cs="Arial"/>
          <w:sz w:val="20"/>
          <w:szCs w:val="20"/>
        </w:rPr>
        <w:t>typical Thanksgiving basket</w:t>
      </w:r>
      <w:r>
        <w:rPr>
          <w:rFonts w:ascii="Arial" w:hAnsi="Arial" w:cs="Arial"/>
          <w:sz w:val="20"/>
          <w:szCs w:val="20"/>
        </w:rPr>
        <w:t xml:space="preserve"> compared to 2023</w:t>
      </w:r>
      <w:r w:rsidRPr="00087BA5">
        <w:rPr>
          <w:rFonts w:ascii="Arial" w:hAnsi="Arial" w:cs="Arial"/>
          <w:sz w:val="20"/>
          <w:szCs w:val="20"/>
        </w:rPr>
        <w:t xml:space="preserve"> </w:t>
      </w:r>
      <w:r>
        <w:rPr>
          <w:rFonts w:ascii="Arial" w:hAnsi="Arial" w:cs="Arial"/>
          <w:sz w:val="20"/>
          <w:szCs w:val="20"/>
        </w:rPr>
        <w:t xml:space="preserve">point to approximate </w:t>
      </w:r>
      <w:r w:rsidRPr="00087BA5">
        <w:rPr>
          <w:rFonts w:ascii="Arial" w:hAnsi="Arial" w:cs="Arial"/>
          <w:sz w:val="20"/>
          <w:szCs w:val="20"/>
        </w:rPr>
        <w:t xml:space="preserve">2% </w:t>
      </w:r>
      <w:r>
        <w:rPr>
          <w:rFonts w:ascii="Arial" w:hAnsi="Arial" w:cs="Arial"/>
          <w:sz w:val="20"/>
          <w:szCs w:val="20"/>
        </w:rPr>
        <w:t xml:space="preserve">inflation. However, today’s typical Thanksgiving ring will be around </w:t>
      </w:r>
      <w:r w:rsidRPr="00087BA5">
        <w:rPr>
          <w:rFonts w:ascii="Arial" w:hAnsi="Arial" w:cs="Arial"/>
          <w:sz w:val="20"/>
          <w:szCs w:val="20"/>
        </w:rPr>
        <w:t xml:space="preserve">26% </w:t>
      </w:r>
      <w:r>
        <w:rPr>
          <w:rFonts w:ascii="Arial" w:hAnsi="Arial" w:cs="Arial"/>
          <w:sz w:val="20"/>
          <w:szCs w:val="20"/>
        </w:rPr>
        <w:t>higher than 2020 prices.</w:t>
      </w:r>
      <w:r w:rsidRPr="00087BA5">
        <w:rPr>
          <w:rFonts w:ascii="Arial" w:hAnsi="Arial" w:cs="Arial"/>
          <w:sz w:val="20"/>
          <w:szCs w:val="20"/>
        </w:rPr>
        <w:t xml:space="preserve"> For their everyday shop, consumers are visiting more stores capitalizing on sales promotions, underscoring the importance of capturing the most or all of the important Thanksgiving cart. </w:t>
      </w:r>
      <w:r w:rsidRPr="00087BA5">
        <w:rPr>
          <w:rFonts w:ascii="Arial" w:hAnsi="Arial" w:cs="Arial"/>
          <w:sz w:val="20"/>
          <w:szCs w:val="20"/>
        </w:rPr>
        <w:br/>
      </w:r>
    </w:p>
    <w:p w14:paraId="606E53DF" w14:textId="5EAE54F0" w:rsidR="001743F4" w:rsidRPr="00A52516" w:rsidRDefault="001743F4" w:rsidP="001743F4">
      <w:pPr>
        <w:pStyle w:val="NoSpacing"/>
        <w:rPr>
          <w:rFonts w:ascii="Arial" w:hAnsi="Arial" w:cs="Arial"/>
          <w:sz w:val="20"/>
          <w:szCs w:val="20"/>
        </w:rPr>
      </w:pPr>
      <w:r w:rsidRPr="00A52516">
        <w:rPr>
          <w:rFonts w:ascii="Arial" w:hAnsi="Arial" w:cs="Arial"/>
          <w:sz w:val="20"/>
          <w:szCs w:val="20"/>
        </w:rPr>
        <w:t xml:space="preserve">The next performance report in the </w:t>
      </w:r>
      <w:hyperlink r:id="rId12" w:history="1">
        <w:r w:rsidRPr="00315618">
          <w:rPr>
            <w:rStyle w:val="Hyperlink"/>
            <w:rFonts w:ascii="Arial" w:hAnsi="Arial" w:cs="Arial"/>
            <w:sz w:val="20"/>
            <w:szCs w:val="20"/>
          </w:rPr>
          <w:t>Circana</w:t>
        </w:r>
      </w:hyperlink>
      <w:r>
        <w:rPr>
          <w:rFonts w:ascii="Arial" w:hAnsi="Arial" w:cs="Arial"/>
          <w:sz w:val="20"/>
          <w:szCs w:val="20"/>
        </w:rPr>
        <w:t xml:space="preserve">, </w:t>
      </w:r>
      <w:r w:rsidRPr="00A52516">
        <w:rPr>
          <w:rFonts w:ascii="Arial" w:hAnsi="Arial" w:cs="Arial"/>
          <w:sz w:val="20"/>
          <w:szCs w:val="20"/>
        </w:rPr>
        <w:t>210 Analytics</w:t>
      </w:r>
      <w:r>
        <w:rPr>
          <w:rFonts w:ascii="Arial" w:hAnsi="Arial" w:cs="Arial"/>
          <w:sz w:val="20"/>
          <w:szCs w:val="20"/>
        </w:rPr>
        <w:t xml:space="preserve"> and </w:t>
      </w:r>
      <w:hyperlink r:id="rId13" w:history="1">
        <w:r w:rsidRPr="002B7BF3">
          <w:rPr>
            <w:rStyle w:val="Hyperlink"/>
            <w:rFonts w:ascii="Arial" w:hAnsi="Arial" w:cs="Arial"/>
            <w:sz w:val="20"/>
            <w:szCs w:val="20"/>
          </w:rPr>
          <w:t>Hillphoenix</w:t>
        </w:r>
      </w:hyperlink>
      <w:r>
        <w:rPr>
          <w:rFonts w:ascii="Arial" w:hAnsi="Arial" w:cs="Arial"/>
          <w:sz w:val="20"/>
          <w:szCs w:val="20"/>
        </w:rPr>
        <w:t xml:space="preserve"> series</w:t>
      </w:r>
      <w:r w:rsidRPr="00A52516">
        <w:rPr>
          <w:rFonts w:ascii="Arial" w:hAnsi="Arial" w:cs="Arial"/>
          <w:sz w:val="20"/>
          <w:szCs w:val="20"/>
        </w:rPr>
        <w:t xml:space="preserve"> will be released mid-</w:t>
      </w:r>
      <w:r w:rsidR="00297E8F">
        <w:rPr>
          <w:rFonts w:ascii="Arial" w:hAnsi="Arial" w:cs="Arial"/>
          <w:sz w:val="20"/>
          <w:szCs w:val="20"/>
        </w:rPr>
        <w:t>December</w:t>
      </w:r>
      <w:r>
        <w:rPr>
          <w:rFonts w:ascii="Arial" w:hAnsi="Arial" w:cs="Arial"/>
          <w:sz w:val="20"/>
          <w:szCs w:val="20"/>
        </w:rPr>
        <w:t xml:space="preserve"> </w:t>
      </w:r>
      <w:r w:rsidRPr="00A52516">
        <w:rPr>
          <w:rFonts w:ascii="Arial" w:hAnsi="Arial" w:cs="Arial"/>
          <w:sz w:val="20"/>
          <w:szCs w:val="20"/>
        </w:rPr>
        <w:t xml:space="preserve">to cover the </w:t>
      </w:r>
      <w:r w:rsidR="00297E8F">
        <w:rPr>
          <w:rFonts w:ascii="Arial" w:hAnsi="Arial" w:cs="Arial"/>
          <w:sz w:val="20"/>
          <w:szCs w:val="20"/>
        </w:rPr>
        <w:t xml:space="preserve">November and Thanksgiving </w:t>
      </w:r>
      <w:r w:rsidRPr="00A52516">
        <w:rPr>
          <w:rFonts w:ascii="Arial" w:hAnsi="Arial" w:cs="Arial"/>
          <w:sz w:val="20"/>
          <w:szCs w:val="20"/>
        </w:rPr>
        <w:t>sales trends</w:t>
      </w:r>
      <w:r>
        <w:rPr>
          <w:rFonts w:ascii="Arial" w:hAnsi="Arial" w:cs="Arial"/>
          <w:sz w:val="20"/>
          <w:szCs w:val="20"/>
        </w:rPr>
        <w:t xml:space="preserve">. </w:t>
      </w:r>
    </w:p>
    <w:bookmarkEnd w:id="17"/>
    <w:p w14:paraId="51927B24" w14:textId="77777777" w:rsidR="0022537E" w:rsidRPr="00CA62D6" w:rsidRDefault="0022537E" w:rsidP="00720067">
      <w:pPr>
        <w:pStyle w:val="NoSpacing"/>
        <w:rPr>
          <w:rFonts w:ascii="Arial" w:hAnsi="Arial" w:cs="Arial"/>
          <w:sz w:val="18"/>
          <w:szCs w:val="20"/>
        </w:rPr>
      </w:pPr>
    </w:p>
    <w:bookmarkEnd w:id="14"/>
    <w:bookmarkEnd w:id="15"/>
    <w:bookmarkEnd w:id="16"/>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7D5BD852" w14:textId="77777777" w:rsidR="0022537E" w:rsidRDefault="0022537E" w:rsidP="0022537E">
      <w:pPr>
        <w:pStyle w:val="NoSpacing"/>
        <w:rPr>
          <w:rFonts w:ascii="Arial" w:hAnsi="Arial" w:cs="Arial"/>
          <w:sz w:val="20"/>
          <w:szCs w:val="20"/>
        </w:rPr>
      </w:pPr>
      <w:r>
        <w:rPr>
          <w:rFonts w:ascii="Arial" w:hAnsi="Arial" w:cs="Arial"/>
          <w:sz w:val="20"/>
          <w:szCs w:val="20"/>
        </w:rPr>
        <w:t>2023: 52 weeks ending 12/31/2023</w:t>
      </w:r>
    </w:p>
    <w:p w14:paraId="4786CBCF" w14:textId="77777777" w:rsidR="0022537E" w:rsidRDefault="0022537E" w:rsidP="0022537E">
      <w:pPr>
        <w:pStyle w:val="NoSpacing"/>
        <w:rPr>
          <w:rFonts w:ascii="Arial" w:hAnsi="Arial" w:cs="Arial"/>
          <w:sz w:val="20"/>
          <w:szCs w:val="20"/>
        </w:rPr>
      </w:pPr>
      <w:r>
        <w:rPr>
          <w:rFonts w:ascii="Arial" w:hAnsi="Arial" w:cs="Arial"/>
          <w:sz w:val="20"/>
          <w:szCs w:val="20"/>
        </w:rPr>
        <w:t>Q1 2024: 13 weeks ending 3/31/ 2024</w:t>
      </w:r>
    </w:p>
    <w:p w14:paraId="19458E28" w14:textId="7A4703DD" w:rsidR="0022537E" w:rsidRDefault="0022537E" w:rsidP="0022537E">
      <w:pPr>
        <w:pStyle w:val="NoSpacing"/>
        <w:rPr>
          <w:rFonts w:ascii="Arial" w:hAnsi="Arial" w:cs="Arial"/>
          <w:sz w:val="20"/>
          <w:szCs w:val="20"/>
        </w:rPr>
      </w:pPr>
      <w:r>
        <w:rPr>
          <w:rFonts w:ascii="Arial" w:hAnsi="Arial" w:cs="Arial"/>
          <w:sz w:val="20"/>
          <w:szCs w:val="20"/>
        </w:rPr>
        <w:t>Q2 2024: 13 weeks ending 6/30/2024</w:t>
      </w:r>
    </w:p>
    <w:p w14:paraId="116C3F75" w14:textId="3E20F504" w:rsidR="00CA62D6" w:rsidRDefault="00CA62D6" w:rsidP="0022537E">
      <w:pPr>
        <w:pStyle w:val="NoSpacing"/>
        <w:rPr>
          <w:rFonts w:ascii="Arial" w:hAnsi="Arial" w:cs="Arial"/>
          <w:sz w:val="20"/>
          <w:szCs w:val="20"/>
        </w:rPr>
      </w:pPr>
      <w:r>
        <w:rPr>
          <w:rFonts w:ascii="Arial" w:hAnsi="Arial" w:cs="Arial"/>
          <w:sz w:val="20"/>
          <w:szCs w:val="20"/>
        </w:rPr>
        <w:t>Q3 2024: 13 weeks ending 9/29/2024</w:t>
      </w:r>
    </w:p>
    <w:p w14:paraId="1522D985" w14:textId="5E271E05" w:rsidR="00922058" w:rsidRDefault="00297E8F" w:rsidP="0022537E">
      <w:pPr>
        <w:pStyle w:val="NoSpacing"/>
        <w:rPr>
          <w:rFonts w:ascii="Arial" w:hAnsi="Arial" w:cs="Arial"/>
          <w:sz w:val="20"/>
          <w:szCs w:val="20"/>
        </w:rPr>
      </w:pPr>
      <w:r>
        <w:rPr>
          <w:rFonts w:ascii="Arial" w:hAnsi="Arial" w:cs="Arial"/>
          <w:sz w:val="20"/>
          <w:szCs w:val="20"/>
        </w:rPr>
        <w:t xml:space="preserve">October </w:t>
      </w:r>
      <w:r w:rsidR="0022537E">
        <w:rPr>
          <w:rFonts w:ascii="Arial" w:hAnsi="Arial" w:cs="Arial"/>
          <w:sz w:val="20"/>
          <w:szCs w:val="20"/>
        </w:rPr>
        <w:t xml:space="preserve">2024: </w:t>
      </w:r>
      <w:r w:rsidR="0025539D">
        <w:rPr>
          <w:rFonts w:ascii="Arial" w:hAnsi="Arial" w:cs="Arial"/>
          <w:sz w:val="20"/>
          <w:szCs w:val="20"/>
        </w:rPr>
        <w:t>5</w:t>
      </w:r>
      <w:r w:rsidR="0022537E">
        <w:rPr>
          <w:rFonts w:ascii="Arial" w:hAnsi="Arial" w:cs="Arial"/>
          <w:sz w:val="20"/>
          <w:szCs w:val="20"/>
        </w:rPr>
        <w:t xml:space="preserve"> weeks ending </w:t>
      </w:r>
      <w:r>
        <w:rPr>
          <w:rFonts w:ascii="Arial" w:hAnsi="Arial" w:cs="Arial"/>
          <w:sz w:val="20"/>
          <w:szCs w:val="20"/>
        </w:rPr>
        <w:t>11</w:t>
      </w:r>
      <w:r w:rsidR="00094547">
        <w:rPr>
          <w:rFonts w:ascii="Arial" w:hAnsi="Arial" w:cs="Arial"/>
          <w:sz w:val="20"/>
          <w:szCs w:val="20"/>
        </w:rPr>
        <w:t>/</w:t>
      </w:r>
      <w:r>
        <w:rPr>
          <w:rFonts w:ascii="Arial" w:hAnsi="Arial" w:cs="Arial"/>
          <w:sz w:val="20"/>
          <w:szCs w:val="20"/>
        </w:rPr>
        <w:t>3</w:t>
      </w:r>
      <w:r w:rsidR="0022537E">
        <w:rPr>
          <w:rFonts w:ascii="Arial" w:hAnsi="Arial" w:cs="Arial"/>
          <w:sz w:val="20"/>
          <w:szCs w:val="20"/>
        </w:rPr>
        <w:t>/2024</w:t>
      </w:r>
    </w:p>
    <w:sectPr w:rsidR="00922058" w:rsidSect="00E35E79">
      <w:headerReference w:type="default" r:id="rId14"/>
      <w:footerReference w:type="default" r:id="rId15"/>
      <w:pgSz w:w="12240" w:h="15840"/>
      <w:pgMar w:top="171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EB524" w14:textId="77777777" w:rsidR="00DB6E46" w:rsidRDefault="00DB6E46" w:rsidP="00030F05">
      <w:pPr>
        <w:spacing w:after="0" w:line="240" w:lineRule="auto"/>
      </w:pPr>
      <w:r>
        <w:separator/>
      </w:r>
    </w:p>
  </w:endnote>
  <w:endnote w:type="continuationSeparator" w:id="0">
    <w:p w14:paraId="6C1BD77E" w14:textId="77777777" w:rsidR="00DB6E46" w:rsidRDefault="00DB6E46"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6D2E" w14:textId="5B44FE45" w:rsidR="00B20540" w:rsidRPr="001C4C48" w:rsidRDefault="00B20540" w:rsidP="00103377">
    <w:pPr>
      <w:spacing w:before="68" w:after="71" w:line="210" w:lineRule="atLeast"/>
      <w:rPr>
        <w:rFonts w:ascii="Verdana" w:hAnsi="Verdana" w:cs="Times New Roman"/>
        <w:color w:val="000000" w:themeColor="text1"/>
        <w:sz w:val="14"/>
        <w:szCs w:val="14"/>
      </w:rPr>
    </w:pPr>
    <w:r w:rsidRPr="00B87C2C">
      <w:rPr>
        <w:rFonts w:ascii="Arial" w:hAnsi="Arial" w:cs="Arial"/>
        <w:noProof/>
        <w:sz w:val="18"/>
        <w:szCs w:val="18"/>
        <w:lang w:val="nl-NL" w:eastAsia="nl-NL"/>
      </w:rPr>
      <w:drawing>
        <wp:anchor distT="0" distB="0" distL="114300" distR="114300" simplePos="0" relativeHeight="251695104" behindDoc="0" locked="0" layoutInCell="1" allowOverlap="1" wp14:anchorId="00DB7FE7" wp14:editId="6377734E">
          <wp:simplePos x="0" y="0"/>
          <wp:positionH relativeFrom="page">
            <wp:posOffset>1423670</wp:posOffset>
          </wp:positionH>
          <wp:positionV relativeFrom="paragraph">
            <wp:posOffset>-69189</wp:posOffset>
          </wp:positionV>
          <wp:extent cx="866140" cy="3556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66140" cy="35560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color w:val="FFFFFF" w:themeColor="background1"/>
        <w:sz w:val="18"/>
        <w:szCs w:val="18"/>
        <w:lang w:val="nl-NL" w:eastAsia="nl-NL"/>
      </w:rPr>
      <w:drawing>
        <wp:anchor distT="0" distB="0" distL="114300" distR="114300" simplePos="0" relativeHeight="251693056" behindDoc="0" locked="0" layoutInCell="1" allowOverlap="1" wp14:anchorId="250491C0" wp14:editId="3E0CFBE6">
          <wp:simplePos x="0" y="0"/>
          <wp:positionH relativeFrom="margin">
            <wp:posOffset>-364820</wp:posOffset>
          </wp:positionH>
          <wp:positionV relativeFrom="bottomMargin">
            <wp:posOffset>55880</wp:posOffset>
          </wp:positionV>
          <wp:extent cx="1219200" cy="38770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srcRect l="5123" t="11111" b="15278"/>
                  <a:stretch/>
                </pic:blipFill>
                <pic:spPr bwMode="auto">
                  <a:xfrm>
                    <a:off x="0" y="0"/>
                    <a:ext cx="1219200" cy="387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7C2C">
      <w:rPr>
        <w:rFonts w:ascii="Arial" w:hAnsi="Arial" w:cs="Arial"/>
        <w:noProof/>
        <w:sz w:val="18"/>
        <w:szCs w:val="18"/>
        <w:lang w:val="nl-NL" w:eastAsia="nl-NL"/>
      </w:rPr>
      <w:drawing>
        <wp:anchor distT="0" distB="0" distL="114300" distR="114300" simplePos="0" relativeHeight="251691008" behindDoc="1" locked="0" layoutInCell="1" allowOverlap="1" wp14:anchorId="34DE4506" wp14:editId="68FF25F0">
          <wp:simplePos x="0" y="0"/>
          <wp:positionH relativeFrom="margin">
            <wp:align>center</wp:align>
          </wp:positionH>
          <wp:positionV relativeFrom="paragraph">
            <wp:posOffset>-219710</wp:posOffset>
          </wp:positionV>
          <wp:extent cx="7767955" cy="612140"/>
          <wp:effectExtent l="0" t="0" r="4445" b="0"/>
          <wp:wrapNone/>
          <wp:docPr id="61137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3">
                    <a:extLst>
                      <a:ext uri="{28A0092B-C50C-407E-A947-70E740481C1C}">
                        <a14:useLocalDpi xmlns:a14="http://schemas.microsoft.com/office/drawing/2010/main" val="0"/>
                      </a:ext>
                    </a:extLst>
                  </a:blip>
                  <a:stretch>
                    <a:fillRect/>
                  </a:stretch>
                </pic:blipFill>
                <pic:spPr>
                  <a:xfrm>
                    <a:off x="0" y="0"/>
                    <a:ext cx="7767955" cy="612140"/>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nl-NL" w:eastAsia="nl-NL"/>
      </w:rPr>
      <mc:AlternateContent>
        <mc:Choice Requires="wps">
          <w:drawing>
            <wp:anchor distT="0" distB="0" distL="114300" distR="114300" simplePos="0" relativeHeight="251680768" behindDoc="0" locked="0" layoutInCell="1" allowOverlap="1" wp14:anchorId="5277C414" wp14:editId="46071B64">
              <wp:simplePos x="0" y="0"/>
              <wp:positionH relativeFrom="margin">
                <wp:posOffset>6251855</wp:posOffset>
              </wp:positionH>
              <wp:positionV relativeFrom="paragraph">
                <wp:posOffset>154991</wp:posOffset>
              </wp:positionV>
              <wp:extent cx="1263650" cy="234950"/>
              <wp:effectExtent l="0" t="0" r="0" b="0"/>
              <wp:wrapNone/>
              <wp:docPr id="9547174" name="Text Box 2"/>
              <wp:cNvGraphicFramePr/>
              <a:graphic xmlns:a="http://schemas.openxmlformats.org/drawingml/2006/main">
                <a:graphicData uri="http://schemas.microsoft.com/office/word/2010/wordprocessingShape">
                  <wps:wsp>
                    <wps:cNvSpPr txBox="1"/>
                    <wps:spPr>
                      <a:xfrm>
                        <a:off x="0" y="0"/>
                        <a:ext cx="1263650" cy="234950"/>
                      </a:xfrm>
                      <a:prstGeom prst="rect">
                        <a:avLst/>
                      </a:prstGeom>
                      <a:noFill/>
                      <a:ln w="6350">
                        <a:noFill/>
                      </a:ln>
                    </wps:spPr>
                    <wps:txbx>
                      <w:txbxContent>
                        <w:p w14:paraId="76D05A51" w14:textId="77777777" w:rsidR="00B20540" w:rsidRPr="008614E7" w:rsidRDefault="00B20540" w:rsidP="008614E7">
                          <w:pPr>
                            <w:pStyle w:val="NoSpacing"/>
                            <w:rPr>
                              <w:color w:val="FFFFFF" w:themeColor="background1"/>
                              <w:sz w:val="18"/>
                              <w:szCs w:val="18"/>
                            </w:rPr>
                          </w:pPr>
                          <w:r w:rsidRPr="008614E7">
                            <w:rPr>
                              <w:color w:val="FFFFFF" w:themeColor="background1"/>
                              <w:sz w:val="18"/>
                              <w:szCs w:val="18"/>
                            </w:rPr>
                            <w:t>FOR PUBLIC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77C414" id="_x0000_t202" coordsize="21600,21600" o:spt="202" path="m,l,21600r21600,l21600,xe">
              <v:stroke joinstyle="miter"/>
              <v:path gradientshapeok="t" o:connecttype="rect"/>
            </v:shapetype>
            <v:shape id="Text Box 2" o:spid="_x0000_s1026" type="#_x0000_t202" style="position:absolute;margin-left:492.25pt;margin-top:12.2pt;width:99.5pt;height:1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" filled="f" stroked="f" strokeweight=".5pt">
              <v:textbox>
                <w:txbxContent>
                  <w:p w14:paraId="76D05A51" w14:textId="77777777" w:rsidR="00B20540" w:rsidRPr="008614E7" w:rsidRDefault="00B20540" w:rsidP="008614E7">
                    <w:pPr>
                      <w:pStyle w:val="NoSpacing"/>
                      <w:rPr>
                        <w:color w:val="FFFFFF" w:themeColor="background1"/>
                        <w:sz w:val="18"/>
                        <w:szCs w:val="18"/>
                      </w:rPr>
                    </w:pPr>
                    <w:r w:rsidRPr="008614E7">
                      <w:rPr>
                        <w:color w:val="FFFFFF" w:themeColor="background1"/>
                        <w:sz w:val="18"/>
                        <w:szCs w:val="18"/>
                      </w:rPr>
                      <w:t>FOR PUBLIC USE</w:t>
                    </w:r>
                  </w:p>
                </w:txbxContent>
              </v:textbox>
              <w10:wrap anchorx="margin"/>
            </v:shape>
          </w:pict>
        </mc:Fallback>
      </mc:AlternateContent>
    </w:r>
    <w:r w:rsidRPr="00B87C2C">
      <w:rPr>
        <w:rFonts w:ascii="Arial" w:hAnsi="Arial" w:cs="Arial"/>
        <w:sz w:val="18"/>
        <w:szCs w:val="18"/>
      </w:rPr>
      <w:t xml:space="preserve">  </w:t>
    </w:r>
    <w:bookmarkStart w:id="18" w:name="_Hlk166244871"/>
    <w:bookmarkStart w:id="19" w:name="_Hlk166244872"/>
  </w:p>
  <w:bookmarkEnd w:id="18"/>
  <w:bookmarkEnd w:i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C3F1" w14:textId="77777777" w:rsidR="00DB6E46" w:rsidRDefault="00DB6E46" w:rsidP="00030F05">
      <w:pPr>
        <w:spacing w:after="0" w:line="240" w:lineRule="auto"/>
      </w:pPr>
      <w:r>
        <w:separator/>
      </w:r>
    </w:p>
  </w:footnote>
  <w:footnote w:type="continuationSeparator" w:id="0">
    <w:p w14:paraId="0F09989F" w14:textId="77777777" w:rsidR="00DB6E46" w:rsidRDefault="00DB6E46"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8B8C" w14:textId="08F1CD7E" w:rsidR="00B20540" w:rsidRDefault="00B20540">
    <w:pPr>
      <w:pStyle w:val="Header"/>
    </w:pPr>
    <w:r>
      <w:rPr>
        <w:noProof/>
        <w:lang w:val="nl-NL" w:eastAsia="nl-NL"/>
      </w:rPr>
      <w:drawing>
        <wp:anchor distT="0" distB="0" distL="114300" distR="114300" simplePos="0" relativeHeight="251688960" behindDoc="0" locked="0" layoutInCell="1" allowOverlap="1" wp14:anchorId="3F6508C8" wp14:editId="4DDFEC97">
          <wp:simplePos x="0" y="0"/>
          <wp:positionH relativeFrom="margin">
            <wp:align>center</wp:align>
          </wp:positionH>
          <wp:positionV relativeFrom="paragraph">
            <wp:posOffset>-446862</wp:posOffset>
          </wp:positionV>
          <wp:extent cx="7812640" cy="1019175"/>
          <wp:effectExtent l="0" t="0" r="0" b="0"/>
          <wp:wrapNone/>
          <wp:docPr id="1128609248" name="Picture 1128609248" descr="Graphical user interface, applicati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264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3994084">
    <w:abstractNumId w:val="18"/>
  </w:num>
  <w:num w:numId="2" w16cid:durableId="1818187393">
    <w:abstractNumId w:val="12"/>
  </w:num>
  <w:num w:numId="3" w16cid:durableId="185678992">
    <w:abstractNumId w:val="5"/>
  </w:num>
  <w:num w:numId="4" w16cid:durableId="1052116362">
    <w:abstractNumId w:val="15"/>
  </w:num>
  <w:num w:numId="5" w16cid:durableId="892426990">
    <w:abstractNumId w:val="11"/>
  </w:num>
  <w:num w:numId="6" w16cid:durableId="1078788208">
    <w:abstractNumId w:val="22"/>
  </w:num>
  <w:num w:numId="7" w16cid:durableId="923227114">
    <w:abstractNumId w:val="6"/>
  </w:num>
  <w:num w:numId="8" w16cid:durableId="1128596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977580">
    <w:abstractNumId w:val="7"/>
  </w:num>
  <w:num w:numId="10" w16cid:durableId="596711983">
    <w:abstractNumId w:val="10"/>
  </w:num>
  <w:num w:numId="11" w16cid:durableId="1205828331">
    <w:abstractNumId w:val="16"/>
  </w:num>
  <w:num w:numId="12" w16cid:durableId="1576476449">
    <w:abstractNumId w:val="1"/>
  </w:num>
  <w:num w:numId="13" w16cid:durableId="1699309572">
    <w:abstractNumId w:val="19"/>
  </w:num>
  <w:num w:numId="14" w16cid:durableId="330719783">
    <w:abstractNumId w:val="20"/>
  </w:num>
  <w:num w:numId="15" w16cid:durableId="513962275">
    <w:abstractNumId w:val="4"/>
  </w:num>
  <w:num w:numId="16" w16cid:durableId="395320604">
    <w:abstractNumId w:val="2"/>
  </w:num>
  <w:num w:numId="17" w16cid:durableId="2011709940">
    <w:abstractNumId w:val="3"/>
  </w:num>
  <w:num w:numId="18" w16cid:durableId="1907643149">
    <w:abstractNumId w:val="21"/>
  </w:num>
  <w:num w:numId="19" w16cid:durableId="2044744267">
    <w:abstractNumId w:val="0"/>
  </w:num>
  <w:num w:numId="20" w16cid:durableId="1256474191">
    <w:abstractNumId w:val="17"/>
  </w:num>
  <w:num w:numId="21" w16cid:durableId="269091317">
    <w:abstractNumId w:val="13"/>
  </w:num>
  <w:num w:numId="22" w16cid:durableId="1744714949">
    <w:abstractNumId w:val="8"/>
  </w:num>
  <w:num w:numId="23" w16cid:durableId="230970824">
    <w:abstractNumId w:val="9"/>
  </w:num>
  <w:num w:numId="24" w16cid:durableId="124318187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526F"/>
    <w:rsid w:val="00015EB3"/>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6EFD"/>
    <w:rsid w:val="0004166F"/>
    <w:rsid w:val="00041900"/>
    <w:rsid w:val="00041A90"/>
    <w:rsid w:val="00045B0F"/>
    <w:rsid w:val="000474E7"/>
    <w:rsid w:val="00050133"/>
    <w:rsid w:val="0005098C"/>
    <w:rsid w:val="00051C92"/>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AFE"/>
    <w:rsid w:val="00063FDF"/>
    <w:rsid w:val="000642B2"/>
    <w:rsid w:val="00064CC3"/>
    <w:rsid w:val="00067139"/>
    <w:rsid w:val="00067985"/>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90B60"/>
    <w:rsid w:val="00091338"/>
    <w:rsid w:val="00091743"/>
    <w:rsid w:val="00092AAE"/>
    <w:rsid w:val="00092AF2"/>
    <w:rsid w:val="00092DBD"/>
    <w:rsid w:val="000934BD"/>
    <w:rsid w:val="0009374A"/>
    <w:rsid w:val="00093E15"/>
    <w:rsid w:val="00094060"/>
    <w:rsid w:val="00094248"/>
    <w:rsid w:val="00094529"/>
    <w:rsid w:val="00094547"/>
    <w:rsid w:val="0009481F"/>
    <w:rsid w:val="00095085"/>
    <w:rsid w:val="00095FC2"/>
    <w:rsid w:val="0009649C"/>
    <w:rsid w:val="00096680"/>
    <w:rsid w:val="00096681"/>
    <w:rsid w:val="00096DC9"/>
    <w:rsid w:val="000A08D2"/>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24CB"/>
    <w:rsid w:val="000C2FAB"/>
    <w:rsid w:val="000C3C34"/>
    <w:rsid w:val="000C3EF1"/>
    <w:rsid w:val="000C422C"/>
    <w:rsid w:val="000D00A7"/>
    <w:rsid w:val="000D0858"/>
    <w:rsid w:val="000D0A9B"/>
    <w:rsid w:val="000D0B85"/>
    <w:rsid w:val="000D18BD"/>
    <w:rsid w:val="000D50BC"/>
    <w:rsid w:val="000D6C1A"/>
    <w:rsid w:val="000E123B"/>
    <w:rsid w:val="000E1306"/>
    <w:rsid w:val="000E3328"/>
    <w:rsid w:val="000E458B"/>
    <w:rsid w:val="000E4A37"/>
    <w:rsid w:val="000E5940"/>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377"/>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EE7"/>
    <w:rsid w:val="00125391"/>
    <w:rsid w:val="00125A29"/>
    <w:rsid w:val="00127F87"/>
    <w:rsid w:val="00130476"/>
    <w:rsid w:val="001309AE"/>
    <w:rsid w:val="00132D34"/>
    <w:rsid w:val="001331ED"/>
    <w:rsid w:val="0013431F"/>
    <w:rsid w:val="0013676E"/>
    <w:rsid w:val="00137F89"/>
    <w:rsid w:val="00140238"/>
    <w:rsid w:val="0014076B"/>
    <w:rsid w:val="00140C06"/>
    <w:rsid w:val="001419F7"/>
    <w:rsid w:val="00145285"/>
    <w:rsid w:val="001479C6"/>
    <w:rsid w:val="0015045A"/>
    <w:rsid w:val="001554E6"/>
    <w:rsid w:val="00156215"/>
    <w:rsid w:val="00156519"/>
    <w:rsid w:val="00161A66"/>
    <w:rsid w:val="001621F6"/>
    <w:rsid w:val="00163885"/>
    <w:rsid w:val="00165FB4"/>
    <w:rsid w:val="001664DB"/>
    <w:rsid w:val="001675B5"/>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991"/>
    <w:rsid w:val="001A19BA"/>
    <w:rsid w:val="001A2561"/>
    <w:rsid w:val="001A3295"/>
    <w:rsid w:val="001A46D6"/>
    <w:rsid w:val="001A481A"/>
    <w:rsid w:val="001A5995"/>
    <w:rsid w:val="001A607F"/>
    <w:rsid w:val="001A64F0"/>
    <w:rsid w:val="001A6CD8"/>
    <w:rsid w:val="001A7ED0"/>
    <w:rsid w:val="001B04EA"/>
    <w:rsid w:val="001B07DE"/>
    <w:rsid w:val="001B1536"/>
    <w:rsid w:val="001B2776"/>
    <w:rsid w:val="001B34A6"/>
    <w:rsid w:val="001B4A16"/>
    <w:rsid w:val="001B4B03"/>
    <w:rsid w:val="001B4E2D"/>
    <w:rsid w:val="001B6BE5"/>
    <w:rsid w:val="001B72CA"/>
    <w:rsid w:val="001B77A6"/>
    <w:rsid w:val="001C0BD5"/>
    <w:rsid w:val="001C12B1"/>
    <w:rsid w:val="001C14E5"/>
    <w:rsid w:val="001C150B"/>
    <w:rsid w:val="001C2C9B"/>
    <w:rsid w:val="001C2D5F"/>
    <w:rsid w:val="001C37AC"/>
    <w:rsid w:val="001C49BD"/>
    <w:rsid w:val="001C563C"/>
    <w:rsid w:val="001D0C48"/>
    <w:rsid w:val="001D0C77"/>
    <w:rsid w:val="001D0E75"/>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639F"/>
    <w:rsid w:val="001F676A"/>
    <w:rsid w:val="001F6D6F"/>
    <w:rsid w:val="001F6EA3"/>
    <w:rsid w:val="001F7022"/>
    <w:rsid w:val="001F76FA"/>
    <w:rsid w:val="002010DD"/>
    <w:rsid w:val="00201F76"/>
    <w:rsid w:val="00203299"/>
    <w:rsid w:val="00203B10"/>
    <w:rsid w:val="0021098B"/>
    <w:rsid w:val="002132AD"/>
    <w:rsid w:val="00213F1E"/>
    <w:rsid w:val="0021418F"/>
    <w:rsid w:val="00214888"/>
    <w:rsid w:val="002177F6"/>
    <w:rsid w:val="00217AE7"/>
    <w:rsid w:val="00221714"/>
    <w:rsid w:val="002230B9"/>
    <w:rsid w:val="00225238"/>
    <w:rsid w:val="0022537E"/>
    <w:rsid w:val="002255BA"/>
    <w:rsid w:val="00225748"/>
    <w:rsid w:val="00226186"/>
    <w:rsid w:val="00226BA8"/>
    <w:rsid w:val="00230543"/>
    <w:rsid w:val="00231C4A"/>
    <w:rsid w:val="00231CF7"/>
    <w:rsid w:val="00232287"/>
    <w:rsid w:val="00232505"/>
    <w:rsid w:val="00234058"/>
    <w:rsid w:val="002346C6"/>
    <w:rsid w:val="00235AD1"/>
    <w:rsid w:val="00240A85"/>
    <w:rsid w:val="00242AF4"/>
    <w:rsid w:val="0024319E"/>
    <w:rsid w:val="0024359C"/>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316E"/>
    <w:rsid w:val="00294D24"/>
    <w:rsid w:val="00296624"/>
    <w:rsid w:val="00296FB1"/>
    <w:rsid w:val="00297E8F"/>
    <w:rsid w:val="002A089A"/>
    <w:rsid w:val="002A1487"/>
    <w:rsid w:val="002A1AA5"/>
    <w:rsid w:val="002A2083"/>
    <w:rsid w:val="002A2966"/>
    <w:rsid w:val="002A3C65"/>
    <w:rsid w:val="002A4635"/>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0B1"/>
    <w:rsid w:val="002E238C"/>
    <w:rsid w:val="002E3184"/>
    <w:rsid w:val="002E3BE9"/>
    <w:rsid w:val="002E3FAD"/>
    <w:rsid w:val="002E4195"/>
    <w:rsid w:val="002E4458"/>
    <w:rsid w:val="002E4484"/>
    <w:rsid w:val="002E4720"/>
    <w:rsid w:val="002E5E4C"/>
    <w:rsid w:val="002E6474"/>
    <w:rsid w:val="002E6AE2"/>
    <w:rsid w:val="002E7203"/>
    <w:rsid w:val="002E7842"/>
    <w:rsid w:val="002E7BEF"/>
    <w:rsid w:val="002F0028"/>
    <w:rsid w:val="002F09B2"/>
    <w:rsid w:val="002F1563"/>
    <w:rsid w:val="002F1D6B"/>
    <w:rsid w:val="002F248B"/>
    <w:rsid w:val="002F50CC"/>
    <w:rsid w:val="002F5B7D"/>
    <w:rsid w:val="002F6051"/>
    <w:rsid w:val="002F6C4F"/>
    <w:rsid w:val="002F72A9"/>
    <w:rsid w:val="002F7B8D"/>
    <w:rsid w:val="00301646"/>
    <w:rsid w:val="00301C13"/>
    <w:rsid w:val="00302804"/>
    <w:rsid w:val="0030328A"/>
    <w:rsid w:val="00303E72"/>
    <w:rsid w:val="00304739"/>
    <w:rsid w:val="00304FD4"/>
    <w:rsid w:val="00304FFF"/>
    <w:rsid w:val="00305A8A"/>
    <w:rsid w:val="00306ACF"/>
    <w:rsid w:val="003118F2"/>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9FC"/>
    <w:rsid w:val="00417C0D"/>
    <w:rsid w:val="00420BD2"/>
    <w:rsid w:val="00422546"/>
    <w:rsid w:val="004227A5"/>
    <w:rsid w:val="00423111"/>
    <w:rsid w:val="00423C4C"/>
    <w:rsid w:val="00426684"/>
    <w:rsid w:val="00431CC6"/>
    <w:rsid w:val="0043292E"/>
    <w:rsid w:val="004335D7"/>
    <w:rsid w:val="00435079"/>
    <w:rsid w:val="00435D29"/>
    <w:rsid w:val="00436741"/>
    <w:rsid w:val="004367DF"/>
    <w:rsid w:val="00437327"/>
    <w:rsid w:val="00437F5C"/>
    <w:rsid w:val="004406AA"/>
    <w:rsid w:val="004421EF"/>
    <w:rsid w:val="00443ECC"/>
    <w:rsid w:val="00446125"/>
    <w:rsid w:val="004464F2"/>
    <w:rsid w:val="0045020A"/>
    <w:rsid w:val="0045075C"/>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BB"/>
    <w:rsid w:val="00482DB8"/>
    <w:rsid w:val="00482F82"/>
    <w:rsid w:val="004830C2"/>
    <w:rsid w:val="0048478E"/>
    <w:rsid w:val="0048480C"/>
    <w:rsid w:val="004855EF"/>
    <w:rsid w:val="004856F0"/>
    <w:rsid w:val="004864FE"/>
    <w:rsid w:val="00486ADA"/>
    <w:rsid w:val="00487871"/>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A37"/>
    <w:rsid w:val="004A5D75"/>
    <w:rsid w:val="004A6FD0"/>
    <w:rsid w:val="004B187D"/>
    <w:rsid w:val="004B1982"/>
    <w:rsid w:val="004B2AE5"/>
    <w:rsid w:val="004B30DE"/>
    <w:rsid w:val="004B3231"/>
    <w:rsid w:val="004B4BCB"/>
    <w:rsid w:val="004B5141"/>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D0206"/>
    <w:rsid w:val="004D083C"/>
    <w:rsid w:val="004D09BF"/>
    <w:rsid w:val="004D10D7"/>
    <w:rsid w:val="004D1150"/>
    <w:rsid w:val="004D2093"/>
    <w:rsid w:val="004D2467"/>
    <w:rsid w:val="004D3116"/>
    <w:rsid w:val="004D3118"/>
    <w:rsid w:val="004D388E"/>
    <w:rsid w:val="004D441C"/>
    <w:rsid w:val="004D4B8A"/>
    <w:rsid w:val="004D62C0"/>
    <w:rsid w:val="004D631A"/>
    <w:rsid w:val="004D762A"/>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25BA"/>
    <w:rsid w:val="00502C52"/>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66EF"/>
    <w:rsid w:val="00520A7F"/>
    <w:rsid w:val="00520EA4"/>
    <w:rsid w:val="0052105B"/>
    <w:rsid w:val="00521BEE"/>
    <w:rsid w:val="00522011"/>
    <w:rsid w:val="00522832"/>
    <w:rsid w:val="00523954"/>
    <w:rsid w:val="005245B1"/>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58D"/>
    <w:rsid w:val="0056066A"/>
    <w:rsid w:val="00561B72"/>
    <w:rsid w:val="00563F23"/>
    <w:rsid w:val="0056735C"/>
    <w:rsid w:val="00567C7C"/>
    <w:rsid w:val="00567CD5"/>
    <w:rsid w:val="00567DFF"/>
    <w:rsid w:val="005728AF"/>
    <w:rsid w:val="0057313C"/>
    <w:rsid w:val="00573523"/>
    <w:rsid w:val="00573610"/>
    <w:rsid w:val="00575A10"/>
    <w:rsid w:val="00576150"/>
    <w:rsid w:val="00576246"/>
    <w:rsid w:val="00576750"/>
    <w:rsid w:val="0058030D"/>
    <w:rsid w:val="00580422"/>
    <w:rsid w:val="00581834"/>
    <w:rsid w:val="00582595"/>
    <w:rsid w:val="005832B5"/>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31D6"/>
    <w:rsid w:val="005F3523"/>
    <w:rsid w:val="005F7105"/>
    <w:rsid w:val="006009AA"/>
    <w:rsid w:val="00601C67"/>
    <w:rsid w:val="00602AEB"/>
    <w:rsid w:val="006041E5"/>
    <w:rsid w:val="0060556D"/>
    <w:rsid w:val="00605D45"/>
    <w:rsid w:val="00607209"/>
    <w:rsid w:val="00607213"/>
    <w:rsid w:val="0061069E"/>
    <w:rsid w:val="0061245B"/>
    <w:rsid w:val="006124E4"/>
    <w:rsid w:val="00612BDB"/>
    <w:rsid w:val="00612CC6"/>
    <w:rsid w:val="00613926"/>
    <w:rsid w:val="00613CE6"/>
    <w:rsid w:val="00613DF8"/>
    <w:rsid w:val="006144A1"/>
    <w:rsid w:val="0061488E"/>
    <w:rsid w:val="00615A54"/>
    <w:rsid w:val="00616E14"/>
    <w:rsid w:val="0061753A"/>
    <w:rsid w:val="00617B79"/>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DCA"/>
    <w:rsid w:val="00646437"/>
    <w:rsid w:val="00646570"/>
    <w:rsid w:val="006476A0"/>
    <w:rsid w:val="0064776E"/>
    <w:rsid w:val="00647CC2"/>
    <w:rsid w:val="006504F6"/>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F37"/>
    <w:rsid w:val="006879B2"/>
    <w:rsid w:val="00690C92"/>
    <w:rsid w:val="00691E97"/>
    <w:rsid w:val="00692CB0"/>
    <w:rsid w:val="00693D71"/>
    <w:rsid w:val="00695665"/>
    <w:rsid w:val="00695E4D"/>
    <w:rsid w:val="006965C2"/>
    <w:rsid w:val="00697809"/>
    <w:rsid w:val="006A1E92"/>
    <w:rsid w:val="006A3BE6"/>
    <w:rsid w:val="006A467B"/>
    <w:rsid w:val="006A4A2F"/>
    <w:rsid w:val="006A66BA"/>
    <w:rsid w:val="006A79B7"/>
    <w:rsid w:val="006B13A9"/>
    <w:rsid w:val="006B3DD5"/>
    <w:rsid w:val="006B51FF"/>
    <w:rsid w:val="006B5E67"/>
    <w:rsid w:val="006B64A5"/>
    <w:rsid w:val="006B7951"/>
    <w:rsid w:val="006C08FE"/>
    <w:rsid w:val="006C0ADE"/>
    <w:rsid w:val="006C1DDB"/>
    <w:rsid w:val="006C1E27"/>
    <w:rsid w:val="006C24F4"/>
    <w:rsid w:val="006C2905"/>
    <w:rsid w:val="006C4124"/>
    <w:rsid w:val="006C465F"/>
    <w:rsid w:val="006C52C7"/>
    <w:rsid w:val="006C611C"/>
    <w:rsid w:val="006C62BF"/>
    <w:rsid w:val="006C6D95"/>
    <w:rsid w:val="006D03CA"/>
    <w:rsid w:val="006D1042"/>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720"/>
    <w:rsid w:val="006F1981"/>
    <w:rsid w:val="006F1B8B"/>
    <w:rsid w:val="006F1E52"/>
    <w:rsid w:val="006F2172"/>
    <w:rsid w:val="006F28F5"/>
    <w:rsid w:val="006F3FA1"/>
    <w:rsid w:val="006F5B3E"/>
    <w:rsid w:val="006F6E8F"/>
    <w:rsid w:val="006F7A43"/>
    <w:rsid w:val="006F7E72"/>
    <w:rsid w:val="007004B2"/>
    <w:rsid w:val="00700553"/>
    <w:rsid w:val="00701172"/>
    <w:rsid w:val="00702E4C"/>
    <w:rsid w:val="00702F57"/>
    <w:rsid w:val="00704D60"/>
    <w:rsid w:val="00705176"/>
    <w:rsid w:val="00710CD7"/>
    <w:rsid w:val="0071138C"/>
    <w:rsid w:val="007142A2"/>
    <w:rsid w:val="0071458F"/>
    <w:rsid w:val="00714735"/>
    <w:rsid w:val="00714920"/>
    <w:rsid w:val="00714ACC"/>
    <w:rsid w:val="00715E7C"/>
    <w:rsid w:val="00716BBD"/>
    <w:rsid w:val="007176C0"/>
    <w:rsid w:val="00720067"/>
    <w:rsid w:val="00720913"/>
    <w:rsid w:val="007216AF"/>
    <w:rsid w:val="0072355F"/>
    <w:rsid w:val="00724CAD"/>
    <w:rsid w:val="0072521C"/>
    <w:rsid w:val="00725259"/>
    <w:rsid w:val="00726162"/>
    <w:rsid w:val="007263EF"/>
    <w:rsid w:val="00726494"/>
    <w:rsid w:val="007314C7"/>
    <w:rsid w:val="00733136"/>
    <w:rsid w:val="00734B24"/>
    <w:rsid w:val="00735007"/>
    <w:rsid w:val="00736045"/>
    <w:rsid w:val="007368CB"/>
    <w:rsid w:val="00736BE7"/>
    <w:rsid w:val="00737909"/>
    <w:rsid w:val="00737BA2"/>
    <w:rsid w:val="007404C4"/>
    <w:rsid w:val="0074063A"/>
    <w:rsid w:val="00740A12"/>
    <w:rsid w:val="00740C65"/>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1852"/>
    <w:rsid w:val="007A1B8F"/>
    <w:rsid w:val="007A2A81"/>
    <w:rsid w:val="007A30B6"/>
    <w:rsid w:val="007A48F5"/>
    <w:rsid w:val="007A4D5B"/>
    <w:rsid w:val="007A4F63"/>
    <w:rsid w:val="007A582D"/>
    <w:rsid w:val="007A63D7"/>
    <w:rsid w:val="007A6A91"/>
    <w:rsid w:val="007A6C27"/>
    <w:rsid w:val="007A7355"/>
    <w:rsid w:val="007A78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1A3D"/>
    <w:rsid w:val="007D38F9"/>
    <w:rsid w:val="007D395E"/>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A85"/>
    <w:rsid w:val="00842917"/>
    <w:rsid w:val="0084327E"/>
    <w:rsid w:val="00843D81"/>
    <w:rsid w:val="00844C3D"/>
    <w:rsid w:val="008469B3"/>
    <w:rsid w:val="008473D2"/>
    <w:rsid w:val="0084768E"/>
    <w:rsid w:val="00852860"/>
    <w:rsid w:val="00852E7E"/>
    <w:rsid w:val="00853AC9"/>
    <w:rsid w:val="00853BB2"/>
    <w:rsid w:val="0085424B"/>
    <w:rsid w:val="008566FE"/>
    <w:rsid w:val="00856E0D"/>
    <w:rsid w:val="008614E7"/>
    <w:rsid w:val="00865A9E"/>
    <w:rsid w:val="00865D8B"/>
    <w:rsid w:val="008662B7"/>
    <w:rsid w:val="00866591"/>
    <w:rsid w:val="0086674F"/>
    <w:rsid w:val="00866B9F"/>
    <w:rsid w:val="00867071"/>
    <w:rsid w:val="0086781F"/>
    <w:rsid w:val="00871A0B"/>
    <w:rsid w:val="00871C6E"/>
    <w:rsid w:val="00872BDF"/>
    <w:rsid w:val="00872FC5"/>
    <w:rsid w:val="00875259"/>
    <w:rsid w:val="0087593B"/>
    <w:rsid w:val="00876E63"/>
    <w:rsid w:val="008805A0"/>
    <w:rsid w:val="00880A54"/>
    <w:rsid w:val="00881023"/>
    <w:rsid w:val="00882834"/>
    <w:rsid w:val="00883D8A"/>
    <w:rsid w:val="00883F72"/>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1275"/>
    <w:rsid w:val="008A17FD"/>
    <w:rsid w:val="008A1AD9"/>
    <w:rsid w:val="008A25DB"/>
    <w:rsid w:val="008A3765"/>
    <w:rsid w:val="008A3786"/>
    <w:rsid w:val="008A3E0E"/>
    <w:rsid w:val="008A4A0F"/>
    <w:rsid w:val="008A4D8F"/>
    <w:rsid w:val="008A53DD"/>
    <w:rsid w:val="008A559F"/>
    <w:rsid w:val="008A7BF3"/>
    <w:rsid w:val="008A7E31"/>
    <w:rsid w:val="008B009F"/>
    <w:rsid w:val="008B1BF3"/>
    <w:rsid w:val="008B2978"/>
    <w:rsid w:val="008B396D"/>
    <w:rsid w:val="008B5282"/>
    <w:rsid w:val="008B58EA"/>
    <w:rsid w:val="008B6548"/>
    <w:rsid w:val="008B7D83"/>
    <w:rsid w:val="008C01A5"/>
    <w:rsid w:val="008C0A49"/>
    <w:rsid w:val="008C218F"/>
    <w:rsid w:val="008C24D6"/>
    <w:rsid w:val="008C4842"/>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D19"/>
    <w:rsid w:val="00900F86"/>
    <w:rsid w:val="0090403D"/>
    <w:rsid w:val="009047D7"/>
    <w:rsid w:val="009048D7"/>
    <w:rsid w:val="00905E97"/>
    <w:rsid w:val="00906833"/>
    <w:rsid w:val="00907051"/>
    <w:rsid w:val="00911B62"/>
    <w:rsid w:val="00912718"/>
    <w:rsid w:val="009137CE"/>
    <w:rsid w:val="009145D8"/>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5C46"/>
    <w:rsid w:val="00946E94"/>
    <w:rsid w:val="009474A7"/>
    <w:rsid w:val="00952085"/>
    <w:rsid w:val="00953823"/>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44B"/>
    <w:rsid w:val="0099704C"/>
    <w:rsid w:val="00997B03"/>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36C8"/>
    <w:rsid w:val="009F41B2"/>
    <w:rsid w:val="009F44E3"/>
    <w:rsid w:val="009F4EE4"/>
    <w:rsid w:val="009F4F53"/>
    <w:rsid w:val="009F52C2"/>
    <w:rsid w:val="009F62E1"/>
    <w:rsid w:val="009F6F1B"/>
    <w:rsid w:val="00A006D8"/>
    <w:rsid w:val="00A01AF2"/>
    <w:rsid w:val="00A01D7C"/>
    <w:rsid w:val="00A047EA"/>
    <w:rsid w:val="00A06A80"/>
    <w:rsid w:val="00A0714A"/>
    <w:rsid w:val="00A07406"/>
    <w:rsid w:val="00A07769"/>
    <w:rsid w:val="00A10D87"/>
    <w:rsid w:val="00A10FC4"/>
    <w:rsid w:val="00A11196"/>
    <w:rsid w:val="00A1206D"/>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63064"/>
    <w:rsid w:val="00A64917"/>
    <w:rsid w:val="00A66165"/>
    <w:rsid w:val="00A6718B"/>
    <w:rsid w:val="00A70CE6"/>
    <w:rsid w:val="00A70EEE"/>
    <w:rsid w:val="00A710FF"/>
    <w:rsid w:val="00A71987"/>
    <w:rsid w:val="00A71DAE"/>
    <w:rsid w:val="00A72028"/>
    <w:rsid w:val="00A72510"/>
    <w:rsid w:val="00A72604"/>
    <w:rsid w:val="00A73188"/>
    <w:rsid w:val="00A73536"/>
    <w:rsid w:val="00A73C5C"/>
    <w:rsid w:val="00A755AD"/>
    <w:rsid w:val="00A75877"/>
    <w:rsid w:val="00A7689D"/>
    <w:rsid w:val="00A77082"/>
    <w:rsid w:val="00A77DFD"/>
    <w:rsid w:val="00A77EB6"/>
    <w:rsid w:val="00A77F5D"/>
    <w:rsid w:val="00A8184A"/>
    <w:rsid w:val="00A81F01"/>
    <w:rsid w:val="00A82094"/>
    <w:rsid w:val="00A820DE"/>
    <w:rsid w:val="00A82C41"/>
    <w:rsid w:val="00A830CF"/>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4B81"/>
    <w:rsid w:val="00AA531C"/>
    <w:rsid w:val="00AA75E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E16"/>
    <w:rsid w:val="00AE0AA9"/>
    <w:rsid w:val="00AE0F29"/>
    <w:rsid w:val="00AE138B"/>
    <w:rsid w:val="00AE1C53"/>
    <w:rsid w:val="00AE22BE"/>
    <w:rsid w:val="00AE23A8"/>
    <w:rsid w:val="00AE2AED"/>
    <w:rsid w:val="00AE323E"/>
    <w:rsid w:val="00AE3705"/>
    <w:rsid w:val="00AE3D2D"/>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5800"/>
    <w:rsid w:val="00B56460"/>
    <w:rsid w:val="00B572F1"/>
    <w:rsid w:val="00B5775B"/>
    <w:rsid w:val="00B60C08"/>
    <w:rsid w:val="00B6142C"/>
    <w:rsid w:val="00B620C1"/>
    <w:rsid w:val="00B62B41"/>
    <w:rsid w:val="00B63332"/>
    <w:rsid w:val="00B638BF"/>
    <w:rsid w:val="00B6648B"/>
    <w:rsid w:val="00B667FE"/>
    <w:rsid w:val="00B673B6"/>
    <w:rsid w:val="00B6758E"/>
    <w:rsid w:val="00B71024"/>
    <w:rsid w:val="00B7115E"/>
    <w:rsid w:val="00B71DCA"/>
    <w:rsid w:val="00B74CF8"/>
    <w:rsid w:val="00B74EC2"/>
    <w:rsid w:val="00B7507D"/>
    <w:rsid w:val="00B7551D"/>
    <w:rsid w:val="00B7563F"/>
    <w:rsid w:val="00B75983"/>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13AD"/>
    <w:rsid w:val="00B914DA"/>
    <w:rsid w:val="00B92FAD"/>
    <w:rsid w:val="00B941CB"/>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27AB"/>
    <w:rsid w:val="00C02F15"/>
    <w:rsid w:val="00C036BF"/>
    <w:rsid w:val="00C043ED"/>
    <w:rsid w:val="00C047DF"/>
    <w:rsid w:val="00C04B6D"/>
    <w:rsid w:val="00C0547E"/>
    <w:rsid w:val="00C06ED7"/>
    <w:rsid w:val="00C10929"/>
    <w:rsid w:val="00C10A5D"/>
    <w:rsid w:val="00C1288B"/>
    <w:rsid w:val="00C14702"/>
    <w:rsid w:val="00C1474E"/>
    <w:rsid w:val="00C166EE"/>
    <w:rsid w:val="00C16A58"/>
    <w:rsid w:val="00C17020"/>
    <w:rsid w:val="00C176A6"/>
    <w:rsid w:val="00C17F71"/>
    <w:rsid w:val="00C20560"/>
    <w:rsid w:val="00C217EA"/>
    <w:rsid w:val="00C227BA"/>
    <w:rsid w:val="00C24CC4"/>
    <w:rsid w:val="00C267F7"/>
    <w:rsid w:val="00C3049F"/>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656"/>
    <w:rsid w:val="00C931C1"/>
    <w:rsid w:val="00C9338B"/>
    <w:rsid w:val="00C933D0"/>
    <w:rsid w:val="00C9447B"/>
    <w:rsid w:val="00C94FE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6423"/>
    <w:rsid w:val="00CB6A78"/>
    <w:rsid w:val="00CB6BBF"/>
    <w:rsid w:val="00CC018A"/>
    <w:rsid w:val="00CC0499"/>
    <w:rsid w:val="00CC1EC8"/>
    <w:rsid w:val="00CC5444"/>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EFD"/>
    <w:rsid w:val="00CE75AA"/>
    <w:rsid w:val="00CF1AC9"/>
    <w:rsid w:val="00CF26C6"/>
    <w:rsid w:val="00CF288E"/>
    <w:rsid w:val="00CF44D8"/>
    <w:rsid w:val="00CF4A8D"/>
    <w:rsid w:val="00CF4B4C"/>
    <w:rsid w:val="00CF69EE"/>
    <w:rsid w:val="00CF6A62"/>
    <w:rsid w:val="00D025DB"/>
    <w:rsid w:val="00D035BE"/>
    <w:rsid w:val="00D043F3"/>
    <w:rsid w:val="00D044A1"/>
    <w:rsid w:val="00D045D9"/>
    <w:rsid w:val="00D046B4"/>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205D9"/>
    <w:rsid w:val="00D20EBA"/>
    <w:rsid w:val="00D20F7C"/>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7A4"/>
    <w:rsid w:val="00D44523"/>
    <w:rsid w:val="00D44862"/>
    <w:rsid w:val="00D46403"/>
    <w:rsid w:val="00D46C9A"/>
    <w:rsid w:val="00D5034D"/>
    <w:rsid w:val="00D50C41"/>
    <w:rsid w:val="00D50E74"/>
    <w:rsid w:val="00D521A9"/>
    <w:rsid w:val="00D55EB7"/>
    <w:rsid w:val="00D5623B"/>
    <w:rsid w:val="00D614D5"/>
    <w:rsid w:val="00D618AF"/>
    <w:rsid w:val="00D61FFA"/>
    <w:rsid w:val="00D62997"/>
    <w:rsid w:val="00D64EB0"/>
    <w:rsid w:val="00D65FE3"/>
    <w:rsid w:val="00D67EE7"/>
    <w:rsid w:val="00D7036D"/>
    <w:rsid w:val="00D705EA"/>
    <w:rsid w:val="00D709F4"/>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84E"/>
    <w:rsid w:val="00DC7F30"/>
    <w:rsid w:val="00DD0097"/>
    <w:rsid w:val="00DD1963"/>
    <w:rsid w:val="00DD1D54"/>
    <w:rsid w:val="00DD2CE2"/>
    <w:rsid w:val="00DD3092"/>
    <w:rsid w:val="00DD377D"/>
    <w:rsid w:val="00DD3C10"/>
    <w:rsid w:val="00DD3CCF"/>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34F9"/>
    <w:rsid w:val="00DF397E"/>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3C0E"/>
    <w:rsid w:val="00E149E5"/>
    <w:rsid w:val="00E14B47"/>
    <w:rsid w:val="00E1503B"/>
    <w:rsid w:val="00E15C29"/>
    <w:rsid w:val="00E161A0"/>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63CB"/>
    <w:rsid w:val="00E36855"/>
    <w:rsid w:val="00E36985"/>
    <w:rsid w:val="00E36A3F"/>
    <w:rsid w:val="00E3744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230B"/>
    <w:rsid w:val="00E54A99"/>
    <w:rsid w:val="00E55A53"/>
    <w:rsid w:val="00E563E1"/>
    <w:rsid w:val="00E56DFA"/>
    <w:rsid w:val="00E57D76"/>
    <w:rsid w:val="00E60D9A"/>
    <w:rsid w:val="00E63A2D"/>
    <w:rsid w:val="00E63E8C"/>
    <w:rsid w:val="00E64DAE"/>
    <w:rsid w:val="00E65900"/>
    <w:rsid w:val="00E65E8E"/>
    <w:rsid w:val="00E6696B"/>
    <w:rsid w:val="00E67E79"/>
    <w:rsid w:val="00E7107D"/>
    <w:rsid w:val="00E72ED1"/>
    <w:rsid w:val="00E72F8C"/>
    <w:rsid w:val="00E733CA"/>
    <w:rsid w:val="00E736B9"/>
    <w:rsid w:val="00E74D9A"/>
    <w:rsid w:val="00E76A33"/>
    <w:rsid w:val="00E76EDC"/>
    <w:rsid w:val="00E81D06"/>
    <w:rsid w:val="00E81F4E"/>
    <w:rsid w:val="00E8276F"/>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75ED"/>
    <w:rsid w:val="00EC03B7"/>
    <w:rsid w:val="00EC0972"/>
    <w:rsid w:val="00EC1B5E"/>
    <w:rsid w:val="00EC1D8F"/>
    <w:rsid w:val="00EC26C6"/>
    <w:rsid w:val="00EC2953"/>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826"/>
    <w:rsid w:val="00EE5904"/>
    <w:rsid w:val="00EE5D3D"/>
    <w:rsid w:val="00EE776B"/>
    <w:rsid w:val="00EF1257"/>
    <w:rsid w:val="00EF177A"/>
    <w:rsid w:val="00EF2A7C"/>
    <w:rsid w:val="00EF5381"/>
    <w:rsid w:val="00EF5637"/>
    <w:rsid w:val="00EF57AE"/>
    <w:rsid w:val="00EF5F81"/>
    <w:rsid w:val="00EF74A7"/>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38D1"/>
    <w:rsid w:val="00F746E5"/>
    <w:rsid w:val="00F75B13"/>
    <w:rsid w:val="00F76CED"/>
    <w:rsid w:val="00F8191A"/>
    <w:rsid w:val="00F82103"/>
    <w:rsid w:val="00F82B38"/>
    <w:rsid w:val="00F82B99"/>
    <w:rsid w:val="00F83B7B"/>
    <w:rsid w:val="00F841A9"/>
    <w:rsid w:val="00F84B34"/>
    <w:rsid w:val="00F862A0"/>
    <w:rsid w:val="00F86D4F"/>
    <w:rsid w:val="00F91DCD"/>
    <w:rsid w:val="00F92E4F"/>
    <w:rsid w:val="00F94E7E"/>
    <w:rsid w:val="00F96246"/>
    <w:rsid w:val="00F97F57"/>
    <w:rsid w:val="00FA1075"/>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C777A"/>
    <w:rsid w:val="00FD0044"/>
    <w:rsid w:val="00FD03CA"/>
    <w:rsid w:val="00FD07CE"/>
    <w:rsid w:val="00FD07D1"/>
    <w:rsid w:val="00FD1D89"/>
    <w:rsid w:val="00FD2F7B"/>
    <w:rsid w:val="00FD402D"/>
    <w:rsid w:val="00FD60FE"/>
    <w:rsid w:val="00FD61F9"/>
    <w:rsid w:val="00FD6B30"/>
    <w:rsid w:val="00FD7BE7"/>
    <w:rsid w:val="00FE05E6"/>
    <w:rsid w:val="00FE099C"/>
    <w:rsid w:val="00FE184C"/>
    <w:rsid w:val="00FE25C4"/>
    <w:rsid w:val="00FE3782"/>
    <w:rsid w:val="00FE40C4"/>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B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phoenix.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rcan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illphoenix.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8A-434B-9304-D351709861E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Oct-24</c:v>
                </c:pt>
              </c:strCache>
            </c:strRef>
          </c:cat>
          <c:val>
            <c:numRef>
              <c:f>Blad1!$B$2:$B$15</c:f>
              <c:numCache>
                <c:formatCode>0.0%</c:formatCode>
                <c:ptCount val="14"/>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2.9000000000000001E-2</c:v>
                </c:pt>
                <c:pt idx="12">
                  <c:v>6.0999999999999999E-2</c:v>
                </c:pt>
                <c:pt idx="13">
                  <c:v>5.3999999999999999E-2</c:v>
                </c:pt>
              </c:numCache>
            </c:numRef>
          </c:val>
          <c:smooth val="0"/>
          <c:extLst>
            <c:ext xmlns:c16="http://schemas.microsoft.com/office/drawing/2014/chart" uri="{C3380CC4-5D6E-409C-BE32-E72D297353CC}">
              <c16:uniqueId val="{00000000-768A-434B-9304-D351709861EA}"/>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8A-434B-9304-D351709861EA}"/>
                </c:ext>
              </c:extLst>
            </c:dLbl>
            <c:dLbl>
              <c:idx val="2"/>
              <c:layout>
                <c:manualLayout>
                  <c:x val="-3.300338533723457E-2"/>
                  <c:y val="3.8422112361090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8A-434B-9304-D351709861EA}"/>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8A-434B-9304-D351709861EA}"/>
                </c:ext>
              </c:extLst>
            </c:dLbl>
            <c:dLbl>
              <c:idx val="7"/>
              <c:layout>
                <c:manualLayout>
                  <c:x val="-3.5877645853809093E-2"/>
                  <c:y val="-6.603925869440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8A-434B-9304-D351709861EA}"/>
                </c:ext>
              </c:extLst>
            </c:dLbl>
            <c:dLbl>
              <c:idx val="8"/>
              <c:layout>
                <c:manualLayout>
                  <c:x val="-4.0655226561529166E-2"/>
                  <c:y val="4.7127226615715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8A-434B-9304-D351709861EA}"/>
                </c:ext>
              </c:extLst>
            </c:dLbl>
            <c:dLbl>
              <c:idx val="9"/>
              <c:layout>
                <c:manualLayout>
                  <c:x val="-4.0655226561529305E-2"/>
                  <c:y val="4.7127226615715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8A-434B-9304-D351709861EA}"/>
                </c:ext>
              </c:extLst>
            </c:dLbl>
            <c:dLbl>
              <c:idx val="11"/>
              <c:layout>
                <c:manualLayout>
                  <c:x val="-3.8742266255455515E-2"/>
                  <c:y val="7.324256937958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8A-434B-9304-D351709861EA}"/>
                </c:ext>
              </c:extLst>
            </c:dLbl>
            <c:dLbl>
              <c:idx val="12"/>
              <c:layout>
                <c:manualLayout>
                  <c:x val="-2.5427309391204148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8A-434B-9304-D351709861EA}"/>
                </c:ext>
              </c:extLst>
            </c:dLbl>
            <c:dLbl>
              <c:idx val="13"/>
              <c:layout>
                <c:manualLayout>
                  <c:x val="-2.0130066238133432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6-433C-A334-ABE65B405236}"/>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Oct-24</c:v>
                </c:pt>
              </c:strCache>
            </c:strRef>
          </c:cat>
          <c:val>
            <c:numRef>
              <c:f>Blad1!$C$2:$C$15</c:f>
              <c:numCache>
                <c:formatCode>0.0%</c:formatCode>
                <c:ptCount val="14"/>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pt idx="12">
                  <c:v>3.4000000000000002E-2</c:v>
                </c:pt>
                <c:pt idx="13">
                  <c:v>3.4000000000000002E-2</c:v>
                </c:pt>
              </c:numCache>
            </c:numRef>
          </c:val>
          <c:smooth val="0"/>
          <c:extLst>
            <c:ext xmlns:c16="http://schemas.microsoft.com/office/drawing/2014/chart" uri="{C3380CC4-5D6E-409C-BE32-E72D297353CC}">
              <c16:uniqueId val="{00000001-768A-434B-9304-D351709861EA}"/>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4.xml><?xml version="1.0" encoding="utf-8"?>
<ds:datastoreItem xmlns:ds="http://schemas.openxmlformats.org/officeDocument/2006/customXml" ds:itemID="{B1A1A26C-A143-426C-9DDC-AB2F1DB8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1760</Words>
  <Characters>10036</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Anne-Marie Roerink</cp:lastModifiedBy>
  <cp:revision>5</cp:revision>
  <dcterms:created xsi:type="dcterms:W3CDTF">2024-11-17T14:29:00Z</dcterms:created>
  <dcterms:modified xsi:type="dcterms:W3CDTF">2024-11-17T21:10:00Z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